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26006</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595" w:leftChars="855" w:hanging="1800" w:hanging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荷花坪社区卫生服务中心建设项目施工材料检测服务</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5"/>
        <w:rPr>
          <w:color w:val="auto"/>
        </w:rPr>
      </w:pPr>
    </w:p>
    <w:p>
      <w:pPr>
        <w:pStyle w:val="5"/>
        <w:rPr>
          <w:color w:val="auto"/>
        </w:rPr>
      </w:pPr>
    </w:p>
    <w:p>
      <w:pPr>
        <w:rPr>
          <w:color w:val="auto"/>
        </w:rPr>
      </w:pPr>
    </w:p>
    <w:p>
      <w:pPr>
        <w:pStyle w:val="5"/>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三</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荷花坪社区卫生服务中心建设项目施工材料检测服务</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06，项目最高限价38980元</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本文件第五条“项目参数要求”</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1.拟参与比价的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目比价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供应商报名获取比价文书</w:t>
      </w:r>
      <w:r>
        <w:rPr>
          <w:rFonts w:hint="eastAsia" w:ascii="方正仿宋" w:hAnsi="方正仿宋" w:eastAsia="方正仿宋" w:cs="方正仿宋"/>
          <w:color w:val="auto"/>
          <w:sz w:val="32"/>
          <w:szCs w:val="32"/>
          <w:lang w:eastAsia="zh-CN"/>
        </w:rPr>
        <w:t>后均视为已知晓所有比价实质性内容，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递交时间：自采购公告发布之日起至202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4</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21</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00止</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（三）比价地点：重庆市巴南区第二人民医院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（二）同一合同包的货物，制造商参与比价的，不得再委托代理商参与。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下载查看本项目需求文件以及变更公告等比价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（四）无论比价结果如何，供应商参与本项目的所有费用均由供应商自行承担。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tbl>
      <w:tblPr>
        <w:tblStyle w:val="13"/>
        <w:tblW w:w="83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1480"/>
        <w:gridCol w:w="4050"/>
        <w:gridCol w:w="2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rFonts w:hint="eastAsia"/>
                <w:lang w:val="en-US" w:eastAsia="zh-CN" w:bidi="ar"/>
              </w:rPr>
              <w:t>检测项目</w:t>
            </w:r>
            <w:r>
              <w:rPr>
                <w:rStyle w:val="20"/>
                <w:lang w:val="en-US" w:eastAsia="zh-CN" w:bidi="ar"/>
              </w:rPr>
              <w:t>名称</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lang w:val="en-US" w:eastAsia="zh-CN" w:bidi="ar"/>
              </w:rPr>
              <w:t>检测内容</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lang w:val="en-US" w:eastAsia="zh-CN" w:bidi="ar"/>
              </w:rPr>
            </w:pPr>
            <w:r>
              <w:rPr>
                <w:rStyle w:val="20"/>
                <w:rFonts w:hint="eastAsia"/>
                <w:lang w:val="en-US" w:eastAsia="zh-CN" w:bidi="ar"/>
              </w:rPr>
              <w:t>最高限价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default"/>
                <w:lang w:val="en-US" w:eastAsia="zh-CN" w:bidi="ar"/>
              </w:rPr>
            </w:pPr>
            <w:r>
              <w:rPr>
                <w:rStyle w:val="20"/>
                <w:rFonts w:hint="eastAsia"/>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水泥</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强度、安定性、凝结时间</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砂浆</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立方体抗压强度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红砖砌块</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强度等级</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防水涂料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表干时间、实干时间、容器中状态、含水率、施工性</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墙地砖、石材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放射性核素限量</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石材、地砖</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吸水率、破坏强度、断裂模数、压缩强度、弯曲、</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线管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常规</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砂浆</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拉伸粘结强度、保水率（限聚合物砂浆）</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轻钢龙骨</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静载试验</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纸面石膏板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含水率、单位面积质量、断裂荷载、受潮挠度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纤维水泥平板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抗折强度、吸水率（湿胀率）</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lang w:val="en-US"/>
              </w:rPr>
            </w:pPr>
            <w:r>
              <w:rPr>
                <w:rStyle w:val="21"/>
                <w:rFonts w:hint="eastAsia"/>
                <w:sz w:val="22"/>
                <w:szCs w:val="22"/>
                <w:lang w:val="en-US" w:eastAsia="zh-CN" w:bidi="ar"/>
              </w:rPr>
              <w:t>冰火板、饰面板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r>
              <w:rPr>
                <w:rStyle w:val="22"/>
                <w:rFonts w:eastAsia="等线"/>
                <w:sz w:val="22"/>
                <w:szCs w:val="22"/>
                <w:lang w:val="en-US" w:eastAsia="zh-CN" w:bidi="ar"/>
              </w:rPr>
              <w:t>A</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门、地板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含水率、甲醛释放量（实木地板除外）</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腻子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容器中状态、涂膜外观、施工性、干燥时间、初期干燥抗裂性</w:t>
            </w:r>
            <w:r>
              <w:rPr>
                <w:rStyle w:val="22"/>
                <w:rFonts w:eastAsia="等线"/>
                <w:sz w:val="22"/>
                <w:szCs w:val="22"/>
                <w:lang w:val="en-US" w:eastAsia="zh-CN" w:bidi="ar"/>
              </w:rPr>
              <w:t xml:space="preserve"> </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rFonts w:hint="eastAsia"/>
                <w:sz w:val="22"/>
                <w:szCs w:val="22"/>
                <w:lang w:val="en-US" w:eastAsia="zh-CN" w:bidi="ar"/>
              </w:rPr>
              <w:t>混凝土</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lang w:val="en-US"/>
              </w:rPr>
            </w:pPr>
            <w:r>
              <w:rPr>
                <w:rStyle w:val="21"/>
                <w:rFonts w:hint="eastAsia"/>
                <w:sz w:val="22"/>
                <w:szCs w:val="22"/>
                <w:lang w:val="en-US" w:eastAsia="zh-CN" w:bidi="ar"/>
              </w:rPr>
              <w:t>抗压强度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乳胶涂料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甲醛、容器中状态、涂膜外观、施工性、干燥时间、初期干燥抗裂性</w:t>
            </w:r>
            <w:r>
              <w:rPr>
                <w:rStyle w:val="22"/>
                <w:rFonts w:eastAsia="等线"/>
                <w:sz w:val="22"/>
                <w:szCs w:val="22"/>
                <w:lang w:val="en-US" w:eastAsia="zh-CN" w:bidi="ar"/>
              </w:rPr>
              <w:t xml:space="preserve"> </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防火涂料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甲醛甲醛、</w:t>
            </w:r>
            <w:r>
              <w:rPr>
                <w:rStyle w:val="21"/>
                <w:rFonts w:hint="eastAsia"/>
                <w:sz w:val="22"/>
                <w:szCs w:val="22"/>
                <w:lang w:val="en-US" w:eastAsia="zh-CN" w:bidi="ar"/>
              </w:rPr>
              <w:t>保护层厚度、耐火极限</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聚酯纤维隔音棉</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导热系数、密度、垂直于板面的抗拉强度、吸水率、燃烧性能</w:t>
            </w:r>
            <w:r>
              <w:rPr>
                <w:rStyle w:val="22"/>
                <w:rFonts w:eastAsia="等线"/>
                <w:sz w:val="22"/>
                <w:szCs w:val="22"/>
                <w:lang w:val="en-US" w:eastAsia="zh-CN" w:bidi="ar"/>
              </w:rPr>
              <w:t>A1</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地胶</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燃烧性能</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16"/>
                <w:szCs w:val="16"/>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等线" w:cs="Times New Roman"/>
                <w:i w:val="0"/>
                <w:color w:val="000000"/>
                <w:sz w:val="22"/>
                <w:szCs w:val="22"/>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抗倍特板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r>
              <w:rPr>
                <w:rStyle w:val="22"/>
                <w:rFonts w:eastAsia="等线"/>
                <w:sz w:val="22"/>
                <w:szCs w:val="22"/>
                <w:lang w:val="en-US" w:eastAsia="zh-CN" w:bidi="ar"/>
              </w:rPr>
              <w:t>B1</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PPR</w:t>
            </w:r>
            <w:r>
              <w:rPr>
                <w:rStyle w:val="21"/>
                <w:sz w:val="22"/>
                <w:szCs w:val="22"/>
                <w:lang w:val="en-US" w:eastAsia="zh-CN" w:bidi="ar"/>
              </w:rPr>
              <w:t>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静液压、冲击性能</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PVC</w:t>
            </w:r>
            <w:r>
              <w:rPr>
                <w:rStyle w:val="21"/>
                <w:sz w:val="22"/>
                <w:szCs w:val="22"/>
                <w:lang w:val="en-US" w:eastAsia="zh-CN" w:bidi="ar"/>
              </w:rPr>
              <w:t>排水管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纵向回缩率、冲击性能</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钢筋</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常规检测</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铝合金型材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抗拉强度、断后伸长率</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电缆</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钢结构钢材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抗拉、断后、冷弯</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灯具</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显示指数</w:t>
            </w:r>
            <w:r>
              <w:rPr>
                <w:rStyle w:val="22"/>
                <w:rFonts w:eastAsia="等线"/>
                <w:sz w:val="22"/>
                <w:szCs w:val="22"/>
                <w:lang w:val="en-US" w:eastAsia="zh-CN" w:bidi="ar"/>
              </w:rPr>
              <w:t xml:space="preserve"> </w:t>
            </w:r>
            <w:r>
              <w:rPr>
                <w:rStyle w:val="21"/>
                <w:sz w:val="22"/>
                <w:szCs w:val="22"/>
                <w:lang w:val="en-US" w:eastAsia="zh-CN" w:bidi="ar"/>
              </w:rPr>
              <w:t>、相关色温、光源初始光效</w:t>
            </w:r>
            <w:r>
              <w:rPr>
                <w:rStyle w:val="22"/>
                <w:rFonts w:eastAsia="等线"/>
                <w:sz w:val="22"/>
                <w:szCs w:val="22"/>
                <w:lang w:val="en-US" w:eastAsia="zh-CN" w:bidi="ar"/>
              </w:rPr>
              <w:t xml:space="preserve"> </w:t>
            </w:r>
            <w:r>
              <w:rPr>
                <w:rStyle w:val="21"/>
                <w:sz w:val="22"/>
                <w:szCs w:val="22"/>
                <w:lang w:val="en-US" w:eastAsia="zh-CN" w:bidi="ar"/>
              </w:rPr>
              <w:t>、功率</w:t>
            </w:r>
            <w:r>
              <w:rPr>
                <w:rStyle w:val="22"/>
                <w:rFonts w:eastAsia="等线"/>
                <w:sz w:val="22"/>
                <w:szCs w:val="22"/>
                <w:lang w:val="en-US" w:eastAsia="zh-CN" w:bidi="ar"/>
              </w:rPr>
              <w:t xml:space="preserve">  </w:t>
            </w:r>
            <w:r>
              <w:rPr>
                <w:rStyle w:val="21"/>
                <w:sz w:val="22"/>
                <w:szCs w:val="22"/>
                <w:lang w:val="en-US" w:eastAsia="zh-CN" w:bidi="ar"/>
              </w:rPr>
              <w:t>功率因数</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照度、功率密度</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照度、功率密度</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阻燃板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1"/>
                <w:rFonts w:hint="default"/>
                <w:sz w:val="22"/>
                <w:szCs w:val="22"/>
                <w:lang w:val="en-US" w:eastAsia="zh-CN" w:bidi="ar"/>
              </w:rPr>
            </w:pPr>
            <w:r>
              <w:rPr>
                <w:rStyle w:val="21"/>
                <w:rFonts w:hint="eastAsia"/>
                <w:sz w:val="22"/>
                <w:szCs w:val="22"/>
                <w:lang w:val="en-US" w:eastAsia="zh-CN" w:bidi="ar"/>
              </w:rPr>
              <w:t>电缆、电线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1"/>
                <w:rFonts w:hint="default"/>
                <w:sz w:val="22"/>
                <w:szCs w:val="22"/>
                <w:lang w:val="en-US" w:eastAsia="zh-CN" w:bidi="ar"/>
              </w:rPr>
            </w:pPr>
            <w:r>
              <w:rPr>
                <w:rStyle w:val="21"/>
                <w:rFonts w:hint="eastAsia"/>
                <w:sz w:val="22"/>
                <w:szCs w:val="22"/>
                <w:lang w:val="en-US" w:eastAsia="zh-CN" w:bidi="ar"/>
              </w:rPr>
              <w:t>燃烧性能</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22"/>
                <w:szCs w:val="22"/>
                <w:u w:val="none"/>
                <w:lang w:val="en-US" w:eastAsia="zh-CN" w:bidi="ar"/>
              </w:rPr>
            </w:pPr>
          </w:p>
        </w:tc>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eastAsia" w:ascii="方正黑体_GBK" w:hAnsi="方正黑体_GBK" w:eastAsia="方正黑体_GBK" w:cs="方正黑体_GBK"/>
                <w:lang w:val="en-US" w:eastAsia="zh-CN" w:bidi="ar"/>
              </w:rPr>
            </w:pPr>
            <w:r>
              <w:rPr>
                <w:rStyle w:val="21"/>
                <w:rFonts w:hint="eastAsia" w:ascii="方正黑体_GBK" w:hAnsi="方正黑体_GBK" w:eastAsia="方正黑体_GBK" w:cs="方正黑体_GBK"/>
                <w:lang w:val="en-US" w:eastAsia="zh-CN" w:bidi="ar"/>
              </w:rPr>
              <w:t>合计</w:t>
            </w:r>
          </w:p>
        </w:tc>
        <w:tc>
          <w:tcPr>
            <w:tcW w:w="22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ascii="方正黑体_GBK" w:hAnsi="方正黑体_GBK" w:eastAsia="方正黑体_GBK" w:cs="方正黑体_GBK"/>
                <w:lang w:val="en-US" w:eastAsia="zh-CN" w:bidi="ar"/>
              </w:rPr>
            </w:pPr>
            <w:r>
              <w:rPr>
                <w:rFonts w:hint="eastAsia" w:ascii="Times New Roman" w:hAnsi="Times New Roman" w:eastAsia="宋体" w:cs="Times New Roman"/>
                <w:i w:val="0"/>
                <w:color w:val="000000"/>
                <w:kern w:val="0"/>
                <w:sz w:val="22"/>
                <w:szCs w:val="22"/>
                <w:u w:val="none"/>
                <w:lang w:val="en-US" w:eastAsia="zh-CN" w:bidi="ar"/>
              </w:rPr>
              <w:t>38980</w:t>
            </w:r>
          </w:p>
        </w:tc>
      </w:tr>
    </w:tbl>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0" w:name="_Toc267320049"/>
      <w:r>
        <w:rPr>
          <w:rFonts w:hint="eastAsia" w:ascii="方正仿宋" w:hAnsi="方正仿宋" w:eastAsia="方正仿宋" w:cs="方正仿宋"/>
          <w:color w:val="auto"/>
          <w:sz w:val="32"/>
          <w:szCs w:val="32"/>
          <w:lang w:val="en-US" w:eastAsia="zh-CN"/>
        </w:rPr>
        <w:t>（一）实施时间、地点及验收方式</w:t>
      </w:r>
      <w:bookmarkEnd w:id="0"/>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1.实施时间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自重庆市巴南区花溪街道荷花坪社区卫生服务中心建设项目开工建设至完成</w:t>
      </w:r>
      <w:r>
        <w:rPr>
          <w:rFonts w:hint="eastAsia" w:ascii="方正仿宋" w:hAnsi="方正仿宋" w:eastAsia="方正仿宋" w:cs="方正仿宋"/>
          <w:color w:val="auto"/>
          <w:sz w:val="32"/>
          <w:szCs w:val="32"/>
          <w:lang w:val="en-US" w:eastAsia="zh-CN"/>
        </w:rPr>
        <w:t>竣工验收</w:t>
      </w:r>
      <w:r>
        <w:rPr>
          <w:rFonts w:hint="default" w:ascii="方正仿宋" w:hAnsi="方正仿宋" w:eastAsia="方正仿宋" w:cs="方正仿宋"/>
          <w:color w:val="auto"/>
          <w:sz w:val="32"/>
          <w:szCs w:val="32"/>
          <w:lang w:val="en-US"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2.采购人指定地点。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3.验收方式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1" w:name="_Toc267320050"/>
      <w:r>
        <w:rPr>
          <w:rFonts w:hint="eastAsia" w:ascii="方正仿宋" w:hAnsi="方正仿宋" w:eastAsia="方正仿宋" w:cs="方正仿宋"/>
          <w:color w:val="auto"/>
          <w:sz w:val="32"/>
          <w:szCs w:val="32"/>
          <w:lang w:val="en-US" w:eastAsia="zh-CN"/>
        </w:rPr>
        <w:t>（1）验收单位：由采购人负责组织验收。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仿宋" w:hAnsi="方正仿宋" w:eastAsia="方正仿宋" w:cs="方正仿宋"/>
          <w:color w:val="auto"/>
          <w:sz w:val="32"/>
          <w:szCs w:val="32"/>
          <w:lang w:val="en-US" w:eastAsia="zh-CN"/>
        </w:rPr>
        <w:t>（2）验收标准：</w:t>
      </w:r>
      <w:bookmarkEnd w:id="1"/>
      <w:bookmarkStart w:id="2" w:name="_Toc267320051"/>
      <w:r>
        <w:rPr>
          <w:rFonts w:hint="eastAsia" w:ascii="方正仿宋" w:hAnsi="方正仿宋" w:eastAsia="方正仿宋" w:cs="方正仿宋"/>
          <w:color w:val="auto"/>
          <w:sz w:val="32"/>
          <w:szCs w:val="32"/>
          <w:lang w:val="en-US" w:eastAsia="zh-CN"/>
        </w:rPr>
        <w:t>按照《重庆市住房和城乡建设委员会关于实施房屋市政工程施工现场质量检测管理制度的通知》（渝建质安〔2021〕21号）规定，</w:t>
      </w:r>
      <w:r>
        <w:rPr>
          <w:rFonts w:hint="default" w:ascii="方正仿宋" w:hAnsi="方正仿宋" w:eastAsia="方正仿宋" w:cs="方正仿宋"/>
          <w:color w:val="auto"/>
          <w:sz w:val="32"/>
          <w:szCs w:val="32"/>
          <w:lang w:val="en-US" w:eastAsia="zh-CN"/>
        </w:rPr>
        <w:t>提交符合国家标准、行业标准，且满足采购人使用需求</w:t>
      </w:r>
      <w:r>
        <w:rPr>
          <w:rFonts w:hint="eastAsia" w:ascii="方正仿宋" w:hAnsi="方正仿宋" w:eastAsia="方正仿宋" w:cs="方正仿宋"/>
          <w:color w:val="auto"/>
          <w:sz w:val="32"/>
          <w:szCs w:val="32"/>
          <w:lang w:val="en-US" w:eastAsia="zh-CN"/>
        </w:rPr>
        <w:t>的检测报告。</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（二）项目报价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该报价包括但不限于本项目相关工作人员的工资、劳保、医疗、福利、津贴、保险、差旅费、资料费以及供应商的管理费、税金、利润等一切可预见和不可预见费用，采购人不再支付与本项目有关的其他任何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2.未按采购人要求报价或超过单项最高限价的，视为无效报价。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（三）付款方式</w:t>
      </w:r>
      <w:bookmarkEnd w:id="2"/>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bCs/>
          <w:kern w:val="2"/>
          <w:sz w:val="32"/>
          <w:szCs w:val="32"/>
          <w:vertAlign w:val="baseline"/>
          <w:lang w:val="en-US" w:eastAsia="zh-CN" w:bidi="ar-SA"/>
        </w:rPr>
      </w:pPr>
      <w:r>
        <w:rPr>
          <w:rFonts w:hint="default" w:ascii="方正仿宋" w:hAnsi="方正仿宋" w:eastAsia="方正仿宋" w:cs="方正仿宋"/>
          <w:color w:val="auto"/>
          <w:sz w:val="32"/>
          <w:szCs w:val="32"/>
          <w:lang w:val="en-US" w:eastAsia="zh-CN"/>
        </w:rPr>
        <w:t>完成重庆市巴南区花溪街道荷花坪社区卫生服务中心建设项目</w:t>
      </w:r>
      <w:r>
        <w:rPr>
          <w:rFonts w:hint="eastAsia" w:ascii="方正仿宋" w:hAnsi="方正仿宋" w:eastAsia="方正仿宋" w:cs="方正仿宋"/>
          <w:color w:val="auto"/>
          <w:sz w:val="32"/>
          <w:szCs w:val="32"/>
          <w:lang w:val="en-US" w:eastAsia="zh-CN"/>
        </w:rPr>
        <w:t>所有施工材料检测服务，按照实际检测项目出具检测报告后根据成交供应商单项报价据实结算，最高不能超过</w:t>
      </w: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38980.00元（大写：叁万捌仟玖佰捌拾元整），超出金额由成交供应商承担</w:t>
      </w:r>
      <w:r>
        <w:rPr>
          <w:rFonts w:hint="default" w:ascii="方正仿宋" w:hAnsi="方正仿宋" w:eastAsia="方正仿宋" w:cs="方正仿宋"/>
          <w:color w:val="auto"/>
          <w:sz w:val="32"/>
          <w:szCs w:val="32"/>
          <w:lang w:val="en-US" w:eastAsia="zh-CN"/>
        </w:rPr>
        <w:t>。成交供应商</w:t>
      </w:r>
      <w:r>
        <w:rPr>
          <w:rFonts w:hint="eastAsia" w:ascii="方正仿宋" w:hAnsi="方正仿宋" w:eastAsia="方正仿宋" w:cs="方正仿宋"/>
          <w:color w:val="auto"/>
          <w:sz w:val="32"/>
          <w:szCs w:val="32"/>
          <w:lang w:val="en-US" w:eastAsia="zh-CN"/>
        </w:rPr>
        <w:t>开具正规</w:t>
      </w:r>
      <w:r>
        <w:rPr>
          <w:rFonts w:hint="default" w:ascii="方正仿宋" w:hAnsi="方正仿宋" w:eastAsia="方正仿宋" w:cs="方正仿宋"/>
          <w:color w:val="auto"/>
          <w:sz w:val="32"/>
          <w:szCs w:val="32"/>
          <w:lang w:val="en-US" w:eastAsia="zh-CN"/>
        </w:rPr>
        <w:t>发票</w:t>
      </w:r>
      <w:r>
        <w:rPr>
          <w:rFonts w:hint="eastAsia" w:ascii="方正仿宋" w:hAnsi="方正仿宋" w:eastAsia="方正仿宋" w:cs="方正仿宋"/>
          <w:color w:val="auto"/>
          <w:sz w:val="32"/>
          <w:szCs w:val="32"/>
          <w:lang w:val="en-US" w:eastAsia="zh-CN"/>
        </w:rPr>
        <w:t>后，采购人</w:t>
      </w:r>
      <w:r>
        <w:rPr>
          <w:rFonts w:hint="default" w:ascii="方正仿宋" w:hAnsi="方正仿宋" w:eastAsia="方正仿宋" w:cs="方正仿宋"/>
          <w:color w:val="auto"/>
          <w:sz w:val="32"/>
          <w:szCs w:val="32"/>
          <w:lang w:val="en-US" w:eastAsia="zh-CN"/>
        </w:rPr>
        <w:t>一次性支付。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（四）知识产权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 资质文件部分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1.一般资质文件内容要求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不具有独立法人的分公司、办事处等分支机构不能参加比价。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上述2-5项检查内容：供应商提供基本资格承诺函。（格式附后）</w:t>
      </w:r>
    </w:p>
    <w:p>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其中第4项，如授权代表参与投标的还需提供该项目授权代表近三个月缴纳社会保险参保证明。（法人直接参加的不需要）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2.特定资格条件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具备重庆市住建委颁发的建设工程质量检测机构资质证书</w:t>
      </w:r>
      <w:r>
        <w:rPr>
          <w:rFonts w:hint="eastAsia" w:ascii="方正仿宋" w:hAnsi="方正仿宋" w:eastAsia="方正仿宋" w:cs="方正仿宋"/>
          <w:color w:val="auto"/>
          <w:sz w:val="32"/>
          <w:szCs w:val="32"/>
          <w:lang w:val="en-US"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（二）技术文件部分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rPr>
            </w:pPr>
            <w:r>
              <w:rPr>
                <w:rFonts w:hint="default" w:ascii="仿宋" w:hAnsi="仿宋" w:eastAsia="仿宋" w:cs="仿宋"/>
                <w:color w:val="auto"/>
                <w:sz w:val="21"/>
                <w:szCs w:val="21"/>
                <w:lang w:val="en-US" w:eastAsia="zh-CN"/>
              </w:rPr>
              <w:t>具备重庆市住建委颁发的建设工程质量检测机构资质证书</w:t>
            </w:r>
            <w:r>
              <w:rPr>
                <w:rFonts w:hint="eastAsia" w:ascii="仿宋" w:hAnsi="仿宋" w:eastAsia="仿宋" w:cs="仿宋"/>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 w:hAnsi="方正仿宋" w:eastAsia="方正仿宋" w:cs="方正仿宋"/>
          <w:color w:val="auto"/>
          <w:sz w:val="32"/>
          <w:szCs w:val="32"/>
          <w:lang w:val="en-US" w:eastAsia="zh-CN"/>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（十一）</w:t>
      </w:r>
      <w:r>
        <w:rPr>
          <w:rFonts w:hint="default" w:ascii="方正仿宋" w:hAnsi="方正仿宋" w:eastAsia="方正仿宋" w:cs="方正仿宋"/>
          <w:color w:val="auto"/>
          <w:sz w:val="32"/>
          <w:szCs w:val="32"/>
          <w:lang w:val="en-US" w:eastAsia="zh-CN"/>
        </w:rPr>
        <w:t>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十、废标条款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一</w:t>
      </w:r>
      <w:r>
        <w:rPr>
          <w:rFonts w:hint="default" w:ascii="方正仿宋" w:hAnsi="方正仿宋" w:eastAsia="方正仿宋" w:cs="方正仿宋"/>
          <w:color w:val="auto"/>
          <w:sz w:val="32"/>
          <w:szCs w:val="32"/>
          <w:lang w:val="en-US" w:eastAsia="zh-CN"/>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二</w:t>
      </w:r>
      <w:r>
        <w:rPr>
          <w:rFonts w:hint="default" w:ascii="方正仿宋" w:hAnsi="方正仿宋" w:eastAsia="方正仿宋" w:cs="方正仿宋"/>
          <w:color w:val="auto"/>
          <w:sz w:val="32"/>
          <w:szCs w:val="32"/>
          <w:lang w:val="en-US" w:eastAsia="zh-CN"/>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eastAsia="zh-CN"/>
        </w:rPr>
        <w:t>技术及现场踏勘联系人：赵老师（总务科）联系电话：</w:t>
      </w:r>
      <w:r>
        <w:rPr>
          <w:rFonts w:hint="eastAsia" w:ascii="仿宋_GB2312" w:hAnsi="Times New Roman" w:eastAsia="仿宋_GB2312" w:cs="Times New Roman"/>
          <w:color w:val="auto"/>
          <w:sz w:val="32"/>
          <w:szCs w:val="28"/>
        </w:rPr>
        <w:t>628</w:t>
      </w:r>
      <w:r>
        <w:rPr>
          <w:rFonts w:hint="eastAsia" w:ascii="仿宋_GB2312" w:hAnsi="Times New Roman" w:eastAsia="仿宋_GB2312" w:cs="Times New Roman"/>
          <w:color w:val="auto"/>
          <w:sz w:val="32"/>
          <w:szCs w:val="28"/>
          <w:lang w:val="en-US" w:eastAsia="zh-CN"/>
        </w:rPr>
        <w:t>58066</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hint="eastAsia" w:ascii="仿宋_GB2312" w:hAnsi="Times New Roman" w:eastAsia="仿宋_GB2312" w:cs="仿宋_GB2312"/>
          <w:color w:val="auto"/>
          <w:sz w:val="32"/>
          <w:szCs w:val="32"/>
          <w:lang w:eastAsia="zh-CN"/>
        </w:rPr>
        <w:t>采购文书制作联系人：吴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5"/>
        <w:rPr>
          <w:rFonts w:hint="default"/>
          <w:color w:val="auto"/>
          <w:lang w:val="en-US" w:eastAsia="zh-CN"/>
        </w:rPr>
      </w:pPr>
      <w:r>
        <w:rPr>
          <w:rFonts w:hint="eastAsia" w:hAnsi="Times New Roman" w:cs="Times New Roman"/>
          <w:color w:val="auto"/>
          <w:sz w:val="32"/>
          <w:szCs w:val="28"/>
          <w:lang w:val="en-US" w:eastAsia="zh-CN"/>
        </w:rPr>
        <w:t xml:space="preserve">   </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r>
        <w:rPr>
          <w:rFonts w:hint="eastAsia" w:ascii="黑体" w:hAnsi="黑体" w:eastAsia="黑体" w:cs="黑体"/>
          <w:color w:val="auto"/>
          <w:sz w:val="32"/>
          <w:szCs w:val="32"/>
          <w:lang w:val="en-US" w:eastAsia="zh-CN"/>
        </w:rPr>
        <w:t>二、特定资格条件</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5"/>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五、授权代表社保缴纳证明</w:t>
      </w:r>
    </w:p>
    <w:p>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比价采购。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5"/>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pStyle w:val="7"/>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九、项目报价</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pStyle w:val="6"/>
        <w:ind w:left="0" w:leftChars="0" w:firstLine="0" w:firstLineChars="0"/>
        <w:rPr>
          <w:rFonts w:hint="default" w:ascii="方正仿宋_GBK" w:hAnsi="宋体" w:eastAsia="方正仿宋_GBK" w:cs="宋体"/>
          <w:sz w:val="32"/>
          <w:szCs w:val="32"/>
        </w:rPr>
      </w:pPr>
    </w:p>
    <w:p>
      <w:pPr>
        <w:numPr>
          <w:ilvl w:val="0"/>
          <w:numId w:val="0"/>
        </w:numPr>
        <w:tabs>
          <w:tab w:val="left" w:pos="2895"/>
        </w:tabs>
        <w:spacing w:line="360" w:lineRule="auto"/>
        <w:ind w:left="420" w:leftChars="0"/>
        <w:rPr>
          <w:rFonts w:hint="eastAsia" w:ascii="宋体" w:hAnsi="宋体" w:cs="宋体"/>
          <w:sz w:val="24"/>
          <w:szCs w:val="24"/>
        </w:rPr>
      </w:pPr>
      <w:r>
        <w:rPr>
          <w:rFonts w:hint="eastAsia" w:ascii="方正仿宋_GBK" w:hAnsi="宋体" w:eastAsia="方正仿宋_GBK" w:cs="宋体"/>
          <w:sz w:val="32"/>
          <w:szCs w:val="32"/>
          <w:lang w:eastAsia="zh-CN"/>
        </w:rPr>
        <w:t>（二）</w:t>
      </w:r>
      <w:r>
        <w:rPr>
          <w:rFonts w:hint="eastAsia" w:ascii="方正仿宋_GBK" w:hAnsi="宋体" w:eastAsia="方正仿宋_GBK" w:cs="宋体"/>
          <w:sz w:val="32"/>
          <w:szCs w:val="32"/>
        </w:rPr>
        <w:t>明细报价表</w:t>
      </w:r>
    </w:p>
    <w:p>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3"/>
        <w:tblW w:w="8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1480"/>
        <w:gridCol w:w="4050"/>
        <w:gridCol w:w="14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rFonts w:hint="eastAsia"/>
                <w:lang w:val="en-US" w:eastAsia="zh-CN" w:bidi="ar"/>
              </w:rPr>
              <w:t>检测项目</w:t>
            </w:r>
            <w:r>
              <w:rPr>
                <w:rStyle w:val="20"/>
                <w:lang w:val="en-US" w:eastAsia="zh-CN" w:bidi="ar"/>
              </w:rPr>
              <w:t>名称</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等线" w:cs="Times New Roman"/>
                <w:i w:val="0"/>
                <w:color w:val="000000"/>
                <w:sz w:val="22"/>
                <w:szCs w:val="22"/>
                <w:u w:val="none"/>
              </w:rPr>
            </w:pPr>
            <w:r>
              <w:rPr>
                <w:rStyle w:val="20"/>
                <w:lang w:val="en-US" w:eastAsia="zh-CN" w:bidi="ar"/>
              </w:rPr>
              <w:t>检测内容</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lang w:val="en-US" w:eastAsia="zh-CN" w:bidi="ar"/>
              </w:rPr>
            </w:pPr>
            <w:r>
              <w:rPr>
                <w:rStyle w:val="20"/>
                <w:rFonts w:hint="eastAsia"/>
                <w:lang w:val="en-US" w:eastAsia="zh-CN" w:bidi="ar"/>
              </w:rPr>
              <w:t>最高限价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default"/>
                <w:lang w:val="en-US" w:eastAsia="zh-CN" w:bidi="ar"/>
              </w:rPr>
            </w:pPr>
            <w:r>
              <w:rPr>
                <w:rStyle w:val="20"/>
                <w:rFonts w:hint="eastAsia"/>
                <w:lang w:val="en-US" w:eastAsia="zh-CN" w:bidi="ar"/>
              </w:rPr>
              <w:t>（单位：元）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eastAsia"/>
                <w:lang w:val="en-US" w:eastAsia="zh-CN" w:bidi="ar"/>
              </w:rPr>
            </w:pPr>
            <w:r>
              <w:rPr>
                <w:rStyle w:val="20"/>
                <w:rFonts w:hint="eastAsia"/>
                <w:lang w:val="en-US" w:eastAsia="zh-CN" w:bidi="ar"/>
              </w:rPr>
              <w:t>报价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20"/>
                <w:rFonts w:hint="default"/>
                <w:lang w:val="en-US" w:eastAsia="zh-CN" w:bidi="ar"/>
              </w:rPr>
            </w:pPr>
            <w:r>
              <w:rPr>
                <w:rStyle w:val="20"/>
                <w:rFonts w:hint="eastAsia"/>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水泥</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强度、安定性、凝结时间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砂浆</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立方体抗压强度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红砖砌块</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强度等级</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350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防水涂料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表干时间、实干时间、容器中状态、含水率、施工性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墙地砖、石材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放射性核素限量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800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石材、地砖</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吸水率、破坏强度、断裂模数、压缩强度、弯曲、</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线管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常规</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砂浆</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拉伸粘结强度、保水率（限聚合物砂浆）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轻钢龙骨</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静载试验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纸面石膏板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含水率、单位面积质量、断裂荷载、受潮挠度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纤维水泥平板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抗折强度、吸水率（湿胀率）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800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lang w:val="en-US"/>
              </w:rPr>
            </w:pPr>
            <w:r>
              <w:rPr>
                <w:rStyle w:val="21"/>
                <w:rFonts w:hint="eastAsia"/>
                <w:sz w:val="22"/>
                <w:szCs w:val="22"/>
                <w:lang w:val="en-US" w:eastAsia="zh-CN" w:bidi="ar"/>
              </w:rPr>
              <w:t>冰火板、饰面板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r>
              <w:rPr>
                <w:rStyle w:val="22"/>
                <w:rFonts w:eastAsia="等线"/>
                <w:sz w:val="22"/>
                <w:szCs w:val="22"/>
                <w:lang w:val="en-US" w:eastAsia="zh-CN" w:bidi="ar"/>
              </w:rPr>
              <w:t>A</w:t>
            </w:r>
            <w:bookmarkStart w:id="3" w:name="_GoBack"/>
            <w:bookmarkEnd w:id="3"/>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门、地板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含水率、甲醛释放量（实木地板除外）</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腻子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容器中状态、涂膜外观、施工性、干燥时间、初期干燥抗裂性</w:t>
            </w:r>
            <w:r>
              <w:rPr>
                <w:rStyle w:val="22"/>
                <w:rFonts w:eastAsia="等线"/>
                <w:sz w:val="22"/>
                <w:szCs w:val="22"/>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rFonts w:hint="eastAsia"/>
                <w:sz w:val="22"/>
                <w:szCs w:val="22"/>
                <w:lang w:val="en-US" w:eastAsia="zh-CN" w:bidi="ar"/>
              </w:rPr>
              <w:t>混凝土</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lang w:val="en-US"/>
              </w:rPr>
            </w:pPr>
            <w:r>
              <w:rPr>
                <w:rStyle w:val="21"/>
                <w:rFonts w:hint="eastAsia"/>
                <w:sz w:val="22"/>
                <w:szCs w:val="22"/>
                <w:lang w:val="en-US" w:eastAsia="zh-CN" w:bidi="ar"/>
              </w:rPr>
              <w:t>抗压强度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600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乳胶涂料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甲醛、容器中状态、涂膜外观、施工性、干燥时间、初期干燥抗裂性</w:t>
            </w:r>
            <w:r>
              <w:rPr>
                <w:rStyle w:val="22"/>
                <w:rFonts w:eastAsia="等线"/>
                <w:sz w:val="22"/>
                <w:szCs w:val="22"/>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1100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防火涂料</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甲醛甲醛、</w:t>
            </w:r>
            <w:r>
              <w:rPr>
                <w:rStyle w:val="21"/>
                <w:rFonts w:hint="eastAsia"/>
                <w:sz w:val="22"/>
                <w:szCs w:val="22"/>
                <w:lang w:val="en-US" w:eastAsia="zh-CN" w:bidi="ar"/>
              </w:rPr>
              <w:t>保护层厚度、耐火极限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聚酯纤维隔音棉</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导热系数、密度、垂直于板面的抗拉强度、吸水率、燃烧性能</w:t>
            </w:r>
            <w:r>
              <w:rPr>
                <w:rStyle w:val="22"/>
                <w:rFonts w:eastAsia="等线"/>
                <w:sz w:val="22"/>
                <w:szCs w:val="22"/>
                <w:lang w:val="en-US" w:eastAsia="zh-CN" w:bidi="ar"/>
              </w:rPr>
              <w:t>A1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sz w:val="22"/>
                <w:szCs w:val="22"/>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地胶</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燃烧性能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16"/>
                <w:szCs w:val="16"/>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等线" w:cs="Times New Roman"/>
                <w:i w:val="0"/>
                <w:color w:val="000000"/>
                <w:sz w:val="22"/>
                <w:szCs w:val="22"/>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000000"/>
                <w:sz w:val="22"/>
                <w:szCs w:val="22"/>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甲醛</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抗倍特板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r>
              <w:rPr>
                <w:rStyle w:val="22"/>
                <w:rFonts w:eastAsia="等线"/>
                <w:sz w:val="22"/>
                <w:szCs w:val="22"/>
                <w:lang w:val="en-US" w:eastAsia="zh-CN" w:bidi="ar"/>
              </w:rPr>
              <w:t>B1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PPR</w:t>
            </w:r>
            <w:r>
              <w:rPr>
                <w:rStyle w:val="21"/>
                <w:sz w:val="22"/>
                <w:szCs w:val="22"/>
                <w:lang w:val="en-US" w:eastAsia="zh-CN" w:bidi="ar"/>
              </w:rPr>
              <w:t>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静液压、冲击性能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PVC</w:t>
            </w:r>
            <w:r>
              <w:rPr>
                <w:rStyle w:val="21"/>
                <w:sz w:val="22"/>
                <w:szCs w:val="22"/>
                <w:lang w:val="en-US" w:eastAsia="zh-CN" w:bidi="ar"/>
              </w:rPr>
              <w:t>排水管</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纵向回缩率、冲击性能</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钢筋</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常规检测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铝合金型材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抗拉强度、断后伸长率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电缆</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导体电阻、绝缘层厚度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钢结构钢材</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抗拉、断后、冷弯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灯具</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显示指数</w:t>
            </w:r>
            <w:r>
              <w:rPr>
                <w:rStyle w:val="22"/>
                <w:rFonts w:eastAsia="等线"/>
                <w:sz w:val="22"/>
                <w:szCs w:val="22"/>
                <w:lang w:val="en-US" w:eastAsia="zh-CN" w:bidi="ar"/>
              </w:rPr>
              <w:t xml:space="preserve"> </w:t>
            </w:r>
            <w:r>
              <w:rPr>
                <w:rStyle w:val="21"/>
                <w:sz w:val="22"/>
                <w:szCs w:val="22"/>
                <w:lang w:val="en-US" w:eastAsia="zh-CN" w:bidi="ar"/>
              </w:rPr>
              <w:t>、相关色温、光源初始光效</w:t>
            </w:r>
            <w:r>
              <w:rPr>
                <w:rStyle w:val="22"/>
                <w:rFonts w:eastAsia="等线"/>
                <w:sz w:val="22"/>
                <w:szCs w:val="22"/>
                <w:lang w:val="en-US" w:eastAsia="zh-CN" w:bidi="ar"/>
              </w:rPr>
              <w:t xml:space="preserve"> </w:t>
            </w:r>
            <w:r>
              <w:rPr>
                <w:rStyle w:val="21"/>
                <w:sz w:val="22"/>
                <w:szCs w:val="22"/>
                <w:lang w:val="en-US" w:eastAsia="zh-CN" w:bidi="ar"/>
              </w:rPr>
              <w:t>、功率</w:t>
            </w:r>
            <w:r>
              <w:rPr>
                <w:rStyle w:val="22"/>
                <w:rFonts w:eastAsia="等线"/>
                <w:sz w:val="22"/>
                <w:szCs w:val="22"/>
                <w:lang w:val="en-US" w:eastAsia="zh-CN" w:bidi="ar"/>
              </w:rPr>
              <w:t xml:space="preserve">  </w:t>
            </w:r>
            <w:r>
              <w:rPr>
                <w:rStyle w:val="21"/>
                <w:sz w:val="22"/>
                <w:szCs w:val="22"/>
                <w:lang w:val="en-US" w:eastAsia="zh-CN" w:bidi="ar"/>
              </w:rPr>
              <w:t>功率因数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照度、功率密度</w:t>
            </w: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照度、功率密度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rFonts w:hint="default"/>
                <w:lang w:val="en-US" w:eastAsia="zh-CN" w:bidi="ar"/>
              </w:rPr>
            </w:pPr>
            <w:r>
              <w:rPr>
                <w:rFonts w:hint="default" w:ascii="Times New Roman" w:hAnsi="Times New Roman" w:eastAsia="宋体" w:cs="Times New Roman"/>
                <w:i w:val="0"/>
                <w:color w:val="000000"/>
                <w:kern w:val="0"/>
                <w:sz w:val="22"/>
                <w:szCs w:val="22"/>
                <w:u w:val="none"/>
                <w:lang w:val="en-US" w:eastAsia="zh-CN" w:bidi="ar"/>
              </w:rPr>
              <w:t>900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阻燃板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color w:val="000000"/>
                <w:sz w:val="22"/>
                <w:szCs w:val="22"/>
                <w:u w:val="none"/>
              </w:rPr>
            </w:pPr>
            <w:r>
              <w:rPr>
                <w:rStyle w:val="21"/>
                <w:sz w:val="22"/>
                <w:szCs w:val="22"/>
                <w:lang w:val="en-US" w:eastAsia="zh-CN" w:bidi="ar"/>
              </w:rPr>
              <w:t>燃烧性能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32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1"/>
                <w:rFonts w:hint="default"/>
                <w:sz w:val="22"/>
                <w:szCs w:val="22"/>
                <w:lang w:val="en-US" w:eastAsia="zh-CN" w:bidi="ar"/>
              </w:rPr>
            </w:pPr>
            <w:r>
              <w:rPr>
                <w:rStyle w:val="21"/>
                <w:rFonts w:hint="eastAsia"/>
                <w:sz w:val="22"/>
                <w:szCs w:val="22"/>
                <w:lang w:val="en-US" w:eastAsia="zh-CN" w:bidi="ar"/>
              </w:rPr>
              <w:t>电缆、电线</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21"/>
                <w:rFonts w:hint="default"/>
                <w:sz w:val="22"/>
                <w:szCs w:val="22"/>
                <w:lang w:val="en-US" w:eastAsia="zh-CN" w:bidi="ar"/>
              </w:rPr>
            </w:pPr>
            <w:r>
              <w:rPr>
                <w:rStyle w:val="21"/>
                <w:rFonts w:hint="eastAsia"/>
                <w:sz w:val="22"/>
                <w:szCs w:val="22"/>
                <w:lang w:val="en-US" w:eastAsia="zh-CN" w:bidi="ar"/>
              </w:rPr>
              <w:t>燃烧性能</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2700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kern w:val="0"/>
                <w:sz w:val="22"/>
                <w:szCs w:val="22"/>
                <w:u w:val="none"/>
                <w:lang w:val="en-US" w:eastAsia="zh-CN" w:bidi="ar"/>
              </w:rPr>
            </w:pPr>
          </w:p>
        </w:tc>
        <w:tc>
          <w:tcPr>
            <w:tcW w:w="5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eastAsia" w:ascii="方正黑体_GBK" w:hAnsi="方正黑体_GBK" w:eastAsia="方正黑体_GBK" w:cs="方正黑体_GBK"/>
                <w:lang w:val="en-US" w:eastAsia="zh-CN" w:bidi="ar"/>
              </w:rPr>
            </w:pPr>
            <w:r>
              <w:rPr>
                <w:rStyle w:val="21"/>
                <w:rFonts w:hint="eastAsia" w:ascii="方正黑体_GBK" w:hAnsi="方正黑体_GBK" w:eastAsia="方正黑体_GBK" w:cs="方正黑体_GBK"/>
                <w:lang w:val="en-US" w:eastAsia="zh-CN" w:bidi="ar"/>
              </w:rPr>
              <w:t>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21"/>
                <w:rFonts w:hint="default" w:ascii="方正黑体_GBK" w:hAnsi="方正黑体_GBK" w:eastAsia="方正黑体_GBK" w:cs="方正黑体_GBK"/>
                <w:lang w:val="en-US" w:eastAsia="zh-CN" w:bidi="ar"/>
              </w:rPr>
            </w:pPr>
            <w:r>
              <w:rPr>
                <w:rFonts w:hint="eastAsia" w:ascii="Times New Roman" w:hAnsi="Times New Roman" w:eastAsia="宋体" w:cs="Times New Roman"/>
                <w:i w:val="0"/>
                <w:color w:val="000000"/>
                <w:kern w:val="0"/>
                <w:sz w:val="22"/>
                <w:szCs w:val="22"/>
                <w:u w:val="none"/>
                <w:lang w:val="en-US" w:eastAsia="zh-CN" w:bidi="ar"/>
              </w:rPr>
              <w:t>38980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21"/>
                <w:lang w:val="en-US" w:eastAsia="zh-CN" w:bidi="ar"/>
              </w:rPr>
            </w:pPr>
          </w:p>
        </w:tc>
      </w:tr>
    </w:tbl>
    <w:p>
      <w:pPr>
        <w:snapToGrid w:val="0"/>
        <w:spacing w:line="360" w:lineRule="auto"/>
        <w:rPr>
          <w:rFonts w:ascii="宋体" w:hAnsi="宋体" w:cs="宋体"/>
          <w:sz w:val="24"/>
          <w:szCs w:val="28"/>
        </w:rPr>
      </w:pPr>
    </w:p>
    <w:p>
      <w:pPr>
        <w:pStyle w:val="10"/>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pPr>
        <w:pStyle w:val="10"/>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pPr>
        <w:pStyle w:val="10"/>
        <w:spacing w:line="360" w:lineRule="auto"/>
        <w:ind w:firstLine="600" w:firstLineChars="200"/>
        <w:rPr>
          <w:rFonts w:ascii="宋体" w:hAnsi="宋体" w:cs="宋体"/>
        </w:rPr>
      </w:pPr>
    </w:p>
    <w:p>
      <w:pPr>
        <w:spacing w:line="360" w:lineRule="auto"/>
        <w:ind w:firstLine="420" w:firstLineChars="200"/>
        <w:rPr>
          <w:rFonts w:ascii="宋体" w:hAnsi="宋体" w:cs="宋体"/>
        </w:rPr>
      </w:pPr>
    </w:p>
    <w:p>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仿宋_GBK">
    <w:altName w:val="Arial Unicode MS"/>
    <w:panose1 w:val="03000509000000000000"/>
    <w:charset w:val="86"/>
    <w:family w:val="script"/>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4F429C"/>
    <w:rsid w:val="035537A6"/>
    <w:rsid w:val="0370288D"/>
    <w:rsid w:val="03C84489"/>
    <w:rsid w:val="04842BB6"/>
    <w:rsid w:val="048B7202"/>
    <w:rsid w:val="04C57F01"/>
    <w:rsid w:val="053111F0"/>
    <w:rsid w:val="06A31C32"/>
    <w:rsid w:val="06B14ECE"/>
    <w:rsid w:val="06B61F38"/>
    <w:rsid w:val="06D6522D"/>
    <w:rsid w:val="07132099"/>
    <w:rsid w:val="07402EA4"/>
    <w:rsid w:val="075B12CB"/>
    <w:rsid w:val="078C3770"/>
    <w:rsid w:val="07EF202F"/>
    <w:rsid w:val="08396D12"/>
    <w:rsid w:val="084D360D"/>
    <w:rsid w:val="088223A9"/>
    <w:rsid w:val="08986A98"/>
    <w:rsid w:val="08A75C6F"/>
    <w:rsid w:val="08EF2A05"/>
    <w:rsid w:val="09365590"/>
    <w:rsid w:val="0949650D"/>
    <w:rsid w:val="09813FA5"/>
    <w:rsid w:val="09953C17"/>
    <w:rsid w:val="099E023E"/>
    <w:rsid w:val="09A034A4"/>
    <w:rsid w:val="09B238D6"/>
    <w:rsid w:val="09C821BF"/>
    <w:rsid w:val="09DB7AF0"/>
    <w:rsid w:val="09EB53A5"/>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522C04"/>
    <w:rsid w:val="0EF9760E"/>
    <w:rsid w:val="0FC10169"/>
    <w:rsid w:val="0FC7598C"/>
    <w:rsid w:val="109C547A"/>
    <w:rsid w:val="10F12089"/>
    <w:rsid w:val="113F1598"/>
    <w:rsid w:val="1186571D"/>
    <w:rsid w:val="11F049C1"/>
    <w:rsid w:val="11F071D0"/>
    <w:rsid w:val="124E53AE"/>
    <w:rsid w:val="12BB3B5D"/>
    <w:rsid w:val="12C34547"/>
    <w:rsid w:val="130576A8"/>
    <w:rsid w:val="13A43AA7"/>
    <w:rsid w:val="13A86C29"/>
    <w:rsid w:val="13B1150F"/>
    <w:rsid w:val="13CB3D0F"/>
    <w:rsid w:val="13F92C1A"/>
    <w:rsid w:val="140263D0"/>
    <w:rsid w:val="14355834"/>
    <w:rsid w:val="14514C8D"/>
    <w:rsid w:val="145C538A"/>
    <w:rsid w:val="149A2770"/>
    <w:rsid w:val="14EE7026"/>
    <w:rsid w:val="15A144E9"/>
    <w:rsid w:val="15A23DA1"/>
    <w:rsid w:val="162837A2"/>
    <w:rsid w:val="16484D9D"/>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548F6"/>
    <w:rsid w:val="1E8E46FB"/>
    <w:rsid w:val="1E9860B9"/>
    <w:rsid w:val="1F2C0897"/>
    <w:rsid w:val="1F734307"/>
    <w:rsid w:val="1F917194"/>
    <w:rsid w:val="1FF01EAC"/>
    <w:rsid w:val="20485C4C"/>
    <w:rsid w:val="20504DD1"/>
    <w:rsid w:val="20B8250F"/>
    <w:rsid w:val="20CD21F4"/>
    <w:rsid w:val="212115A2"/>
    <w:rsid w:val="21C960F6"/>
    <w:rsid w:val="23D622D3"/>
    <w:rsid w:val="23DE3D3B"/>
    <w:rsid w:val="23E5523C"/>
    <w:rsid w:val="23E67F16"/>
    <w:rsid w:val="242F672E"/>
    <w:rsid w:val="24663B91"/>
    <w:rsid w:val="2492258F"/>
    <w:rsid w:val="2509705A"/>
    <w:rsid w:val="251C6E6D"/>
    <w:rsid w:val="25506927"/>
    <w:rsid w:val="264C5C76"/>
    <w:rsid w:val="265E7BA5"/>
    <w:rsid w:val="26C57B7A"/>
    <w:rsid w:val="28CE5D75"/>
    <w:rsid w:val="28F40496"/>
    <w:rsid w:val="29E55C38"/>
    <w:rsid w:val="29F36B66"/>
    <w:rsid w:val="29F92C58"/>
    <w:rsid w:val="2A4A3FB4"/>
    <w:rsid w:val="2ADA6FF8"/>
    <w:rsid w:val="2AEE24E2"/>
    <w:rsid w:val="2B017E97"/>
    <w:rsid w:val="2B3C6B3E"/>
    <w:rsid w:val="2B6A695E"/>
    <w:rsid w:val="2BA5293C"/>
    <w:rsid w:val="2BA65763"/>
    <w:rsid w:val="2BEC7070"/>
    <w:rsid w:val="2C0D6E49"/>
    <w:rsid w:val="2CA83EB9"/>
    <w:rsid w:val="2D9A3B92"/>
    <w:rsid w:val="2E127B88"/>
    <w:rsid w:val="2E254534"/>
    <w:rsid w:val="2E6574FC"/>
    <w:rsid w:val="2E68598C"/>
    <w:rsid w:val="2E851C21"/>
    <w:rsid w:val="2EEA4EA3"/>
    <w:rsid w:val="2EEF3DCB"/>
    <w:rsid w:val="2F4A6C32"/>
    <w:rsid w:val="2F776BDF"/>
    <w:rsid w:val="2F991689"/>
    <w:rsid w:val="2FC70F86"/>
    <w:rsid w:val="30275101"/>
    <w:rsid w:val="303703B7"/>
    <w:rsid w:val="30C22029"/>
    <w:rsid w:val="30CC0E8D"/>
    <w:rsid w:val="30DD4DE2"/>
    <w:rsid w:val="311E39FD"/>
    <w:rsid w:val="313C3AF3"/>
    <w:rsid w:val="315B5E95"/>
    <w:rsid w:val="317C5661"/>
    <w:rsid w:val="318A463B"/>
    <w:rsid w:val="324D611F"/>
    <w:rsid w:val="32607604"/>
    <w:rsid w:val="32915D2E"/>
    <w:rsid w:val="32E56777"/>
    <w:rsid w:val="335B7C68"/>
    <w:rsid w:val="33BD5449"/>
    <w:rsid w:val="3418053F"/>
    <w:rsid w:val="3482764F"/>
    <w:rsid w:val="34890B03"/>
    <w:rsid w:val="34EC7A34"/>
    <w:rsid w:val="34EF56D6"/>
    <w:rsid w:val="35484544"/>
    <w:rsid w:val="35741906"/>
    <w:rsid w:val="35A70844"/>
    <w:rsid w:val="35A973DF"/>
    <w:rsid w:val="35B37D24"/>
    <w:rsid w:val="369C0B1C"/>
    <w:rsid w:val="36B32186"/>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3E6DE5"/>
    <w:rsid w:val="3C6523A5"/>
    <w:rsid w:val="3CB03353"/>
    <w:rsid w:val="3CB21118"/>
    <w:rsid w:val="3CEA50DB"/>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73D15"/>
    <w:rsid w:val="437672CF"/>
    <w:rsid w:val="43872231"/>
    <w:rsid w:val="43B55C46"/>
    <w:rsid w:val="43B6421A"/>
    <w:rsid w:val="43B90FC1"/>
    <w:rsid w:val="43E500FD"/>
    <w:rsid w:val="43E824FD"/>
    <w:rsid w:val="43EA5710"/>
    <w:rsid w:val="44070B4C"/>
    <w:rsid w:val="44D800BA"/>
    <w:rsid w:val="453B615D"/>
    <w:rsid w:val="45627106"/>
    <w:rsid w:val="461C728F"/>
    <w:rsid w:val="46282E28"/>
    <w:rsid w:val="46827EEC"/>
    <w:rsid w:val="468627DD"/>
    <w:rsid w:val="46A85802"/>
    <w:rsid w:val="470234A2"/>
    <w:rsid w:val="47687CDF"/>
    <w:rsid w:val="47705678"/>
    <w:rsid w:val="4843587B"/>
    <w:rsid w:val="484B2E37"/>
    <w:rsid w:val="486B3A63"/>
    <w:rsid w:val="490C1EF4"/>
    <w:rsid w:val="490F6E38"/>
    <w:rsid w:val="4919471B"/>
    <w:rsid w:val="493B3EB7"/>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CF33CF"/>
    <w:rsid w:val="4DD65CA8"/>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DDC6230"/>
    <w:rsid w:val="5E1C1A00"/>
    <w:rsid w:val="5EF673A2"/>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193C98"/>
    <w:rsid w:val="6454244F"/>
    <w:rsid w:val="64554DE6"/>
    <w:rsid w:val="646E3336"/>
    <w:rsid w:val="64785961"/>
    <w:rsid w:val="647F0B2F"/>
    <w:rsid w:val="64BE104B"/>
    <w:rsid w:val="650E39D3"/>
    <w:rsid w:val="657B771C"/>
    <w:rsid w:val="65897350"/>
    <w:rsid w:val="658D5E37"/>
    <w:rsid w:val="65A52A0F"/>
    <w:rsid w:val="65E3583B"/>
    <w:rsid w:val="65F01229"/>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574A15"/>
    <w:rsid w:val="6E767F3A"/>
    <w:rsid w:val="6E77458E"/>
    <w:rsid w:val="6EA3030F"/>
    <w:rsid w:val="6EB20249"/>
    <w:rsid w:val="6EC54FAF"/>
    <w:rsid w:val="6EDD3EA1"/>
    <w:rsid w:val="6EDE1FFB"/>
    <w:rsid w:val="6F016CAF"/>
    <w:rsid w:val="6F3072A1"/>
    <w:rsid w:val="6F8C55F8"/>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590FA6"/>
    <w:rsid w:val="738E0259"/>
    <w:rsid w:val="73CB20F5"/>
    <w:rsid w:val="73DA1F23"/>
    <w:rsid w:val="73FC1FE3"/>
    <w:rsid w:val="740A49E5"/>
    <w:rsid w:val="74650CD1"/>
    <w:rsid w:val="74895A91"/>
    <w:rsid w:val="74CF05B1"/>
    <w:rsid w:val="74F57957"/>
    <w:rsid w:val="75152B1F"/>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autoSpaceDE w:val="0"/>
      <w:autoSpaceDN w:val="0"/>
      <w:adjustRightInd w:val="0"/>
      <w:snapToGrid w:val="0"/>
      <w:spacing w:line="360" w:lineRule="auto"/>
      <w:ind w:left="4785" w:hanging="1320"/>
      <w:jc w:val="center"/>
      <w:outlineLvl w:val="0"/>
    </w:pPr>
    <w:rPr>
      <w:rFonts w:eastAsia="黑体"/>
      <w:sz w:val="44"/>
      <w:szCs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7">
    <w:name w:val="Balloon Text"/>
    <w:basedOn w:val="1"/>
    <w:unhideWhenUsed/>
    <w:qFormat/>
    <w:uiPriority w:val="0"/>
    <w:rPr>
      <w:rFonts w:ascii="Calibri" w:hAnsi="Calibri" w:eastAsia="宋体"/>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180" w:lineRule="auto"/>
      <w:jc w:val="center"/>
    </w:pPr>
    <w:rPr>
      <w:sz w:val="3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5"/>
    <w:qFormat/>
    <w:uiPriority w:val="99"/>
    <w:pPr>
      <w:ind w:firstLine="420" w:firstLineChars="100"/>
    </w:p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 w:type="character" w:customStyle="1" w:styleId="20">
    <w:name w:val="font31"/>
    <w:basedOn w:val="15"/>
    <w:qFormat/>
    <w:uiPriority w:val="0"/>
    <w:rPr>
      <w:rFonts w:ascii="方正仿宋_GBK" w:hAnsi="方正仿宋_GBK" w:eastAsia="方正仿宋_GBK" w:cs="方正仿宋_GBK"/>
      <w:color w:val="000000"/>
      <w:sz w:val="22"/>
      <w:szCs w:val="22"/>
      <w:u w:val="none"/>
    </w:rPr>
  </w:style>
  <w:style w:type="character" w:customStyle="1" w:styleId="21">
    <w:name w:val="font41"/>
    <w:basedOn w:val="15"/>
    <w:qFormat/>
    <w:uiPriority w:val="0"/>
    <w:rPr>
      <w:rFonts w:hint="eastAsia" w:ascii="方正仿宋_GBK" w:hAnsi="方正仿宋_GBK" w:eastAsia="方正仿宋_GBK" w:cs="方正仿宋_GBK"/>
      <w:color w:val="000000"/>
      <w:sz w:val="16"/>
      <w:szCs w:val="16"/>
      <w:u w:val="none"/>
    </w:rPr>
  </w:style>
  <w:style w:type="character" w:customStyle="1" w:styleId="22">
    <w:name w:val="font01"/>
    <w:basedOn w:val="15"/>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3575</Words>
  <Characters>3740</Characters>
  <Lines>0</Lines>
  <Paragraphs>0</Paragraphs>
  <TotalTime>0</TotalTime>
  <ScaleCrop>false</ScaleCrop>
  <LinksUpToDate>false</LinksUpToDate>
  <CharactersWithSpaces>3771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2026-03-30T00:43:00Z</cp:lastPrinted>
  <dcterms:modified xsi:type="dcterms:W3CDTF">2026-04-15T09:31:13Z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