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方正黑体_GBK" w:hAnsi="宋体" w:eastAsia="方正黑体_GBK" w:cs="Times New Roman"/>
          <w:color w:val="auto"/>
          <w:spacing w:val="80"/>
          <w:sz w:val="112"/>
          <w:szCs w:val="112"/>
        </w:rPr>
      </w:pPr>
    </w:p>
    <w:p>
      <w:pPr>
        <w:jc w:val="center"/>
        <w:outlineLvl w:val="0"/>
        <w:rPr>
          <w:rFonts w:ascii="方正黑体_GBK" w:hAnsi="宋体" w:eastAsia="方正黑体_GBK" w:cs="Times New Roman"/>
          <w:color w:val="auto"/>
          <w:spacing w:val="80"/>
          <w:sz w:val="112"/>
          <w:szCs w:val="112"/>
        </w:rPr>
      </w:pPr>
      <w:r>
        <w:rPr>
          <w:rFonts w:hint="eastAsia" w:ascii="方正黑体_GBK" w:hAnsi="宋体" w:eastAsia="方正黑体_GBK" w:cs="方正黑体_GBK"/>
          <w:color w:val="auto"/>
          <w:spacing w:val="80"/>
          <w:sz w:val="112"/>
          <w:szCs w:val="112"/>
          <w:lang w:eastAsia="zh-CN"/>
        </w:rPr>
        <w:t>比价</w:t>
      </w:r>
      <w:r>
        <w:rPr>
          <w:rFonts w:hint="eastAsia" w:ascii="方正黑体_GBK" w:hAnsi="宋体" w:eastAsia="方正黑体_GBK" w:cs="方正黑体_GBK"/>
          <w:color w:val="auto"/>
          <w:spacing w:val="80"/>
          <w:sz w:val="112"/>
          <w:szCs w:val="112"/>
        </w:rPr>
        <w:t>文件</w:t>
      </w:r>
    </w:p>
    <w:p>
      <w:pPr>
        <w:spacing w:line="700" w:lineRule="exact"/>
        <w:jc w:val="center"/>
        <w:rPr>
          <w:rFonts w:ascii="黑体" w:eastAsia="黑体" w:cs="Times New Roman"/>
          <w:color w:val="auto"/>
          <w:sz w:val="32"/>
          <w:szCs w:val="32"/>
        </w:rPr>
      </w:pPr>
      <w:r>
        <w:rPr>
          <w:rFonts w:hint="eastAsia" w:ascii="黑体" w:eastAsia="黑体" w:cs="黑体"/>
          <w:color w:val="auto"/>
          <w:sz w:val="32"/>
          <w:szCs w:val="32"/>
        </w:rPr>
        <w:t>（项目编号：</w:t>
      </w:r>
      <w:r>
        <w:rPr>
          <w:rFonts w:ascii="黑体" w:eastAsia="黑体" w:cs="黑体"/>
          <w:color w:val="auto"/>
          <w:sz w:val="32"/>
          <w:szCs w:val="32"/>
        </w:rPr>
        <w:t>BNQHXYY20</w:t>
      </w:r>
      <w:r>
        <w:rPr>
          <w:rFonts w:hint="eastAsia" w:ascii="黑体" w:eastAsia="黑体" w:cs="黑体"/>
          <w:color w:val="auto"/>
          <w:sz w:val="32"/>
          <w:szCs w:val="32"/>
          <w:lang w:val="en-US" w:eastAsia="zh-CN"/>
        </w:rPr>
        <w:t>26015</w:t>
      </w:r>
      <w:r>
        <w:rPr>
          <w:rFonts w:hint="eastAsia" w:ascii="黑体" w:eastAsia="黑体" w:cs="黑体"/>
          <w:color w:val="auto"/>
          <w:sz w:val="32"/>
          <w:szCs w:val="32"/>
        </w:rPr>
        <w:t>）</w:t>
      </w:r>
    </w:p>
    <w:p>
      <w:pPr>
        <w:spacing w:line="700" w:lineRule="exact"/>
        <w:jc w:val="center"/>
        <w:rPr>
          <w:rFonts w:ascii="黑体" w:eastAsia="黑体" w:cs="Times New Roman"/>
          <w:color w:val="auto"/>
          <w:sz w:val="32"/>
          <w:szCs w:val="32"/>
        </w:rPr>
      </w:pPr>
    </w:p>
    <w:p>
      <w:pPr>
        <w:spacing w:line="700" w:lineRule="exact"/>
        <w:jc w:val="center"/>
        <w:rPr>
          <w:rFonts w:ascii="黑体" w:eastAsia="黑体" w:cs="Times New Roman"/>
          <w:color w:val="auto"/>
          <w:sz w:val="32"/>
          <w:szCs w:val="32"/>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ind w:firstLine="1749" w:firstLineChars="486"/>
        <w:rPr>
          <w:rFonts w:ascii="方正小标宋_GBK" w:hAnsi="宋体" w:eastAsia="方正小标宋_GBK" w:cs="Times New Roman"/>
          <w:color w:val="auto"/>
          <w:sz w:val="36"/>
          <w:szCs w:val="36"/>
        </w:rPr>
      </w:pPr>
    </w:p>
    <w:p>
      <w:pPr>
        <w:spacing w:line="700" w:lineRule="exact"/>
        <w:rPr>
          <w:rFonts w:ascii="方正小标宋_GBK" w:hAnsi="宋体" w:eastAsia="方正小标宋_GBK" w:cs="Times New Roman"/>
          <w:color w:val="auto"/>
          <w:sz w:val="36"/>
          <w:szCs w:val="36"/>
        </w:rPr>
      </w:pPr>
    </w:p>
    <w:p>
      <w:pPr>
        <w:spacing w:line="700" w:lineRule="exact"/>
        <w:ind w:firstLine="1800" w:firstLineChars="500"/>
        <w:rPr>
          <w:rFonts w:hint="eastAsia" w:ascii="方正小标宋_GBK" w:hAnsi="宋体" w:eastAsia="方正小标宋_GBK" w:cs="方正小标宋_GBK"/>
          <w:color w:val="auto"/>
          <w:sz w:val="36"/>
          <w:szCs w:val="36"/>
          <w:lang w:val="en-US" w:eastAsia="zh-CN"/>
        </w:rPr>
      </w:pPr>
      <w:r>
        <w:rPr>
          <w:rFonts w:hint="eastAsia" w:ascii="方正小标宋_GBK" w:hAnsi="宋体" w:eastAsia="方正小标宋_GBK" w:cs="方正小标宋_GBK"/>
          <w:color w:val="auto"/>
          <w:sz w:val="36"/>
          <w:szCs w:val="36"/>
        </w:rPr>
        <w:t>项目名称：</w:t>
      </w:r>
      <w:r>
        <w:rPr>
          <w:rFonts w:hint="eastAsia" w:ascii="方正小标宋_GBK" w:hAnsi="方正小标宋_GBK" w:eastAsia="方正小标宋_GBK" w:cs="方正小标宋_GBK"/>
          <w:sz w:val="36"/>
          <w:szCs w:val="36"/>
          <w:lang w:eastAsia="zh-CN"/>
        </w:rPr>
        <w:t>腕带、胸卡、护理卡等项目</w:t>
      </w:r>
    </w:p>
    <w:p>
      <w:pPr>
        <w:spacing w:line="700" w:lineRule="exact"/>
        <w:ind w:firstLine="1800" w:firstLineChars="500"/>
        <w:rPr>
          <w:rFonts w:ascii="方正小标宋_GBK" w:hAnsi="宋体" w:eastAsia="方正小标宋_GBK" w:cs="Times New Roman"/>
          <w:color w:val="auto"/>
          <w:sz w:val="36"/>
          <w:szCs w:val="36"/>
        </w:rPr>
      </w:pPr>
      <w:r>
        <w:rPr>
          <w:rFonts w:hint="eastAsia" w:ascii="方正小标宋_GBK" w:hAnsi="宋体" w:eastAsia="方正小标宋_GBK" w:cs="方正小标宋_GBK"/>
          <w:color w:val="auto"/>
          <w:sz w:val="36"/>
          <w:szCs w:val="36"/>
        </w:rPr>
        <w:t>采购单位：重庆市巴南区第二人民医院</w:t>
      </w:r>
    </w:p>
    <w:p>
      <w:pPr>
        <w:spacing w:line="720" w:lineRule="exact"/>
        <w:jc w:val="center"/>
        <w:outlineLvl w:val="0"/>
        <w:rPr>
          <w:rFonts w:ascii="方正黑体_GBK" w:hAnsi="宋体" w:eastAsia="方正黑体_GBK" w:cs="Times New Roman"/>
          <w:color w:val="auto"/>
          <w:sz w:val="48"/>
          <w:szCs w:val="48"/>
        </w:rPr>
      </w:pPr>
    </w:p>
    <w:p>
      <w:pPr>
        <w:pStyle w:val="5"/>
        <w:rPr>
          <w:color w:val="auto"/>
        </w:rPr>
      </w:pPr>
    </w:p>
    <w:p>
      <w:pPr>
        <w:pStyle w:val="5"/>
        <w:rPr>
          <w:color w:val="auto"/>
        </w:rPr>
      </w:pPr>
    </w:p>
    <w:p>
      <w:pPr>
        <w:rPr>
          <w:color w:val="auto"/>
        </w:rPr>
      </w:pPr>
    </w:p>
    <w:p>
      <w:pPr>
        <w:pStyle w:val="5"/>
        <w:rPr>
          <w:color w:val="auto"/>
        </w:rPr>
      </w:pPr>
    </w:p>
    <w:p>
      <w:pPr>
        <w:rPr>
          <w:color w:val="auto"/>
        </w:rPr>
      </w:pPr>
    </w:p>
    <w:p>
      <w:pPr>
        <w:pStyle w:val="5"/>
        <w:rPr>
          <w:color w:val="auto"/>
        </w:rPr>
      </w:pPr>
    </w:p>
    <w:p>
      <w:pPr>
        <w:spacing w:line="720" w:lineRule="exact"/>
        <w:jc w:val="center"/>
        <w:outlineLvl w:val="0"/>
        <w:rPr>
          <w:rFonts w:ascii="方正黑体_GBK" w:eastAsia="方正黑体_GBK" w:cs="Times New Roman"/>
          <w:color w:val="auto"/>
          <w:sz w:val="44"/>
          <w:szCs w:val="44"/>
        </w:rPr>
      </w:pPr>
      <w:r>
        <w:rPr>
          <w:rFonts w:hint="eastAsia" w:ascii="方正黑体_GBK" w:hAnsi="宋体" w:eastAsia="方正黑体_GBK" w:cs="方正黑体_GBK"/>
          <w:color w:val="auto"/>
          <w:sz w:val="48"/>
          <w:szCs w:val="48"/>
        </w:rPr>
        <w:t>二〇</w:t>
      </w:r>
      <w:r>
        <w:rPr>
          <w:rFonts w:hint="eastAsia" w:ascii="方正黑体_GBK" w:hAnsi="宋体" w:eastAsia="方正黑体_GBK" w:cs="方正黑体_GBK"/>
          <w:color w:val="auto"/>
          <w:sz w:val="48"/>
          <w:szCs w:val="48"/>
          <w:lang w:eastAsia="zh-CN"/>
        </w:rPr>
        <w:t>二六</w:t>
      </w:r>
      <w:r>
        <w:rPr>
          <w:rFonts w:hint="eastAsia" w:ascii="方正黑体_GBK" w:hAnsi="宋体" w:eastAsia="方正黑体_GBK" w:cs="方正黑体_GBK"/>
          <w:color w:val="auto"/>
          <w:sz w:val="48"/>
          <w:szCs w:val="48"/>
        </w:rPr>
        <w:t>年</w:t>
      </w:r>
      <w:r>
        <w:rPr>
          <w:rFonts w:hint="eastAsia" w:ascii="方正黑体_GBK" w:hAnsi="宋体" w:eastAsia="方正黑体_GBK" w:cs="方正黑体_GBK"/>
          <w:color w:val="auto"/>
          <w:sz w:val="48"/>
          <w:szCs w:val="48"/>
          <w:lang w:eastAsia="zh-CN"/>
        </w:rPr>
        <w:t>六</w:t>
      </w:r>
      <w:r>
        <w:rPr>
          <w:rFonts w:hint="eastAsia" w:ascii="方正黑体_GBK" w:hAnsi="宋体" w:eastAsia="方正黑体_GBK" w:cs="方正黑体_GBK"/>
          <w:color w:val="auto"/>
          <w:sz w:val="48"/>
          <w:szCs w:val="48"/>
        </w:rPr>
        <w:t>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黑体" w:hAnsi="黑体" w:eastAsia="黑体" w:cs="黑体"/>
          <w:color w:val="auto"/>
          <w:sz w:val="32"/>
          <w:szCs w:val="32"/>
          <w:lang w:eastAsia="zh-CN"/>
        </w:rPr>
        <w:t>一、</w:t>
      </w:r>
      <w:r>
        <w:rPr>
          <w:rFonts w:hint="eastAsia" w:ascii="黑体" w:hAnsi="黑体" w:eastAsia="黑体" w:cs="黑体"/>
          <w:color w:val="auto"/>
          <w:sz w:val="32"/>
          <w:szCs w:val="32"/>
        </w:rPr>
        <w:t>采购项目</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重庆市巴南区第二人民医院腕带、胸卡、护理卡等项目，项目编号BNQHXYY2026015，项目预算4.9万元。</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上述项目实施内容及相关要求详见本文件第六条“腕带、胸卡、护理卡等项目</w:t>
      </w:r>
      <w:bookmarkStart w:id="3" w:name="_GoBack"/>
      <w:bookmarkEnd w:id="3"/>
      <w:r>
        <w:rPr>
          <w:rFonts w:hint="eastAsia" w:ascii="方正仿宋" w:hAnsi="方正仿宋" w:eastAsia="方正仿宋" w:cs="方正仿宋"/>
          <w:color w:val="auto"/>
          <w:kern w:val="2"/>
          <w:sz w:val="32"/>
          <w:szCs w:val="32"/>
          <w:lang w:val="en-US" w:eastAsia="zh-CN" w:bidi="ar-SA"/>
        </w:rPr>
        <w:t>参数要求”。</w:t>
      </w:r>
    </w:p>
    <w:p>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auto"/>
          <w:sz w:val="32"/>
          <w:szCs w:val="32"/>
          <w:lang w:eastAsia="zh-CN"/>
        </w:rPr>
      </w:pPr>
      <w:r>
        <w:rPr>
          <w:rFonts w:ascii="黑体" w:hAnsi="黑体" w:eastAsia="黑体" w:cs="黑体"/>
          <w:color w:val="auto"/>
          <w:sz w:val="32"/>
          <w:szCs w:val="32"/>
        </w:rPr>
        <w:t xml:space="preserve">    </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CN"/>
        </w:rPr>
        <w:t>资金来源</w:t>
      </w:r>
    </w:p>
    <w:p>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rPr>
      </w:pPr>
      <w:r>
        <w:rPr>
          <w:rFonts w:hint="eastAsia" w:ascii="方正仿宋" w:hAnsi="方正仿宋" w:eastAsia="方正仿宋" w:cs="方正仿宋"/>
          <w:color w:val="auto"/>
          <w:kern w:val="2"/>
          <w:sz w:val="32"/>
          <w:szCs w:val="32"/>
          <w:lang w:val="en-US" w:eastAsia="zh-CN" w:bidi="ar-SA"/>
        </w:rPr>
        <w:t xml:space="preserve">自筹 </w:t>
      </w:r>
      <w:r>
        <w:rPr>
          <w:rFonts w:hint="eastAsia" w:ascii="方正仿宋_GBK" w:hAnsi="宋体" w:eastAsia="方正仿宋_GBK" w:cs="宋体"/>
          <w:color w:val="auto"/>
          <w:sz w:val="32"/>
          <w:szCs w:val="32"/>
        </w:rPr>
        <w:t xml:space="preserve">  </w:t>
      </w:r>
    </w:p>
    <w:p>
      <w:pPr>
        <w:pStyle w:val="17"/>
        <w:numPr>
          <w:ilvl w:val="0"/>
          <w:numId w:val="0"/>
        </w:numPr>
        <w:tabs>
          <w:tab w:val="clear" w:pos="1260"/>
          <w:tab w:val="clear" w:pos="1685"/>
          <w:tab w:val="clear" w:pos="8400"/>
        </w:tabs>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 xml:space="preserve">    三、资格要求</w:t>
      </w:r>
    </w:p>
    <w:p>
      <w:pPr>
        <w:pStyle w:val="17"/>
        <w:keepNext w:val="0"/>
        <w:keepLines w:val="0"/>
        <w:pageBreakBefore w:val="0"/>
        <w:widowControl w:val="0"/>
        <w:numPr>
          <w:ilvl w:val="0"/>
          <w:numId w:val="0"/>
        </w:numPr>
        <w:tabs>
          <w:tab w:val="clear" w:pos="1260"/>
          <w:tab w:val="clear" w:pos="1685"/>
          <w:tab w:val="clear" w:pos="8400"/>
        </w:tabs>
        <w:kinsoku/>
        <w:wordWrap/>
        <w:overflowPunct/>
        <w:topLinePunct w:val="0"/>
        <w:autoSpaceDE/>
        <w:autoSpaceDN/>
        <w:bidi w:val="0"/>
        <w:adjustRightInd/>
        <w:snapToGrid/>
        <w:spacing w:line="579"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（一）满足《中华人民共和国政府采购法》第二十二条规定；</w:t>
      </w:r>
    </w:p>
    <w:p>
      <w:pPr>
        <w:pStyle w:val="17"/>
        <w:keepNext w:val="0"/>
        <w:keepLines w:val="0"/>
        <w:pageBreakBefore w:val="0"/>
        <w:widowControl w:val="0"/>
        <w:numPr>
          <w:ilvl w:val="0"/>
          <w:numId w:val="0"/>
        </w:numPr>
        <w:tabs>
          <w:tab w:val="clear" w:pos="1260"/>
          <w:tab w:val="clear" w:pos="1685"/>
          <w:tab w:val="clear" w:pos="8400"/>
        </w:tabs>
        <w:kinsoku/>
        <w:wordWrap/>
        <w:overflowPunct/>
        <w:topLinePunct w:val="0"/>
        <w:autoSpaceDE/>
        <w:autoSpaceDN/>
        <w:bidi w:val="0"/>
        <w:adjustRightInd/>
        <w:snapToGrid/>
        <w:spacing w:line="579" w:lineRule="exact"/>
        <w:ind w:firstLine="640" w:firstLineChars="200"/>
        <w:textAlignment w:val="auto"/>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（二）本项目的特定资格要求：</w:t>
      </w:r>
    </w:p>
    <w:p>
      <w:pPr>
        <w:pStyle w:val="17"/>
        <w:numPr>
          <w:ilvl w:val="0"/>
          <w:numId w:val="0"/>
        </w:numPr>
        <w:tabs>
          <w:tab w:val="clear" w:pos="1260"/>
          <w:tab w:val="clear" w:pos="1685"/>
          <w:tab w:val="clear" w:pos="8400"/>
        </w:tabs>
        <w:ind w:left="660" w:leftChars="0"/>
        <w:rPr>
          <w:rFonts w:hint="eastAsia" w:ascii="方正仿宋" w:hAnsi="方正仿宋" w:eastAsia="方正仿宋" w:cs="方正仿宋"/>
          <w:color w:val="auto"/>
          <w:sz w:val="32"/>
          <w:szCs w:val="32"/>
          <w:lang w:val="en-US" w:eastAsia="zh-CN"/>
        </w:rPr>
      </w:pPr>
      <w:r>
        <w:rPr>
          <w:rFonts w:hint="eastAsia" w:ascii="方正仿宋" w:hAnsi="方正仿宋" w:eastAsia="方正仿宋" w:cs="方正仿宋"/>
          <w:color w:val="auto"/>
          <w:sz w:val="32"/>
          <w:szCs w:val="32"/>
          <w:lang w:val="en-US" w:eastAsia="zh-CN"/>
        </w:rPr>
        <w:t>无</w:t>
      </w:r>
    </w:p>
    <w:p>
      <w:pPr>
        <w:pStyle w:val="17"/>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有关</w:t>
      </w:r>
      <w:r>
        <w:rPr>
          <w:rFonts w:hint="eastAsia" w:ascii="黑体" w:hAnsi="黑体" w:eastAsia="黑体" w:cs="黑体"/>
          <w:color w:val="auto"/>
          <w:sz w:val="32"/>
          <w:szCs w:val="32"/>
          <w:lang w:eastAsia="zh-CN"/>
        </w:rPr>
        <w:t>说明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 报名方式</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1.拟参与比价的供应商通过</w:t>
      </w:r>
      <w:r>
        <w:rPr>
          <w:rFonts w:hint="eastAsia" w:ascii="方正仿宋" w:hAnsi="方正仿宋" w:eastAsia="方正仿宋" w:cs="方正仿宋"/>
          <w:color w:val="auto"/>
          <w:kern w:val="2"/>
          <w:sz w:val="32"/>
          <w:szCs w:val="32"/>
          <w:lang w:val="en-US" w:eastAsia="zh-CN" w:bidi="ar-SA"/>
        </w:rPr>
        <w:fldChar w:fldCharType="begin"/>
      </w:r>
      <w:r>
        <w:rPr>
          <w:rFonts w:hint="eastAsia" w:ascii="方正仿宋" w:hAnsi="方正仿宋" w:eastAsia="方正仿宋" w:cs="方正仿宋"/>
          <w:color w:val="auto"/>
          <w:kern w:val="2"/>
          <w:sz w:val="32"/>
          <w:szCs w:val="32"/>
          <w:lang w:val="en-US" w:eastAsia="zh-CN" w:bidi="ar-SA"/>
        </w:rPr>
        <w:instrText xml:space="preserve"> HYPERLINK "http://www.bnzw.gov.cn/login/index.aspx" \t "_blank" </w:instrText>
      </w:r>
      <w:r>
        <w:rPr>
          <w:rFonts w:hint="eastAsia" w:ascii="方正仿宋" w:hAnsi="方正仿宋" w:eastAsia="方正仿宋" w:cs="方正仿宋"/>
          <w:color w:val="auto"/>
          <w:kern w:val="2"/>
          <w:sz w:val="32"/>
          <w:szCs w:val="32"/>
          <w:lang w:val="en-US" w:eastAsia="zh-CN" w:bidi="ar-SA"/>
        </w:rPr>
        <w:fldChar w:fldCharType="separate"/>
      </w:r>
      <w:r>
        <w:rPr>
          <w:rFonts w:hint="eastAsia" w:ascii="方正仿宋" w:hAnsi="方正仿宋" w:eastAsia="方正仿宋" w:cs="方正仿宋"/>
          <w:color w:val="auto"/>
          <w:kern w:val="2"/>
          <w:sz w:val="32"/>
          <w:szCs w:val="32"/>
          <w:lang w:val="en-US" w:eastAsia="zh-CN" w:bidi="ar-SA"/>
        </w:rPr>
        <w:t>重庆市巴南区第二人民医院网站</w:t>
      </w:r>
      <w:r>
        <w:rPr>
          <w:rFonts w:hint="eastAsia" w:ascii="方正仿宋" w:hAnsi="方正仿宋" w:eastAsia="方正仿宋" w:cs="方正仿宋"/>
          <w:color w:val="auto"/>
          <w:kern w:val="2"/>
          <w:sz w:val="32"/>
          <w:szCs w:val="32"/>
          <w:lang w:val="en-US" w:eastAsia="zh-CN" w:bidi="ar-SA"/>
        </w:rPr>
        <w:fldChar w:fldCharType="end"/>
      </w:r>
      <w:r>
        <w:rPr>
          <w:rFonts w:hint="eastAsia" w:ascii="方正仿宋" w:hAnsi="方正仿宋" w:eastAsia="方正仿宋" w:cs="方正仿宋"/>
          <w:color w:val="auto"/>
          <w:kern w:val="2"/>
          <w:sz w:val="32"/>
          <w:szCs w:val="32"/>
          <w:lang w:val="en-US" w:eastAsia="zh-CN" w:bidi="ar-SA"/>
        </w:rPr>
        <w:t>（http://bnqhxyy.cn/）获取本项目比价文件（不提供现场发售）。</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2.拟参选的供应商报名获取比价文书后均视为已知晓所有比价实质性内容，且认同相关要求。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sz w:val="32"/>
          <w:szCs w:val="32"/>
          <w:lang w:eastAsia="zh-CN"/>
        </w:rPr>
        <w:t>（二）</w:t>
      </w:r>
      <w:r>
        <w:rPr>
          <w:rFonts w:hint="eastAsia" w:ascii="方正仿宋" w:hAnsi="方正仿宋" w:eastAsia="方正仿宋" w:cs="方正仿宋"/>
          <w:color w:val="auto"/>
          <w:sz w:val="32"/>
          <w:szCs w:val="32"/>
          <w:lang w:val="en-US" w:eastAsia="zh-CN"/>
        </w:rPr>
        <w:t>响应</w:t>
      </w:r>
      <w:r>
        <w:rPr>
          <w:rFonts w:hint="eastAsia" w:ascii="方正仿宋" w:hAnsi="方正仿宋" w:eastAsia="方正仿宋" w:cs="方正仿宋"/>
          <w:color w:val="auto"/>
          <w:sz w:val="32"/>
          <w:szCs w:val="32"/>
          <w:lang w:eastAsia="zh-CN"/>
        </w:rPr>
        <w:t>文</w:t>
      </w:r>
      <w:r>
        <w:rPr>
          <w:rFonts w:hint="eastAsia" w:ascii="方正仿宋" w:hAnsi="方正仿宋" w:eastAsia="方正仿宋" w:cs="方正仿宋"/>
          <w:color w:val="auto"/>
          <w:sz w:val="32"/>
          <w:szCs w:val="32"/>
          <w:lang w:val="en-US" w:eastAsia="zh-CN"/>
        </w:rPr>
        <w:t>书</w:t>
      </w:r>
      <w:r>
        <w:rPr>
          <w:rFonts w:hint="eastAsia" w:ascii="方正仿宋" w:hAnsi="方正仿宋" w:eastAsia="方正仿宋" w:cs="方正仿宋"/>
          <w:color w:val="auto"/>
          <w:sz w:val="32"/>
          <w:szCs w:val="32"/>
          <w:lang w:eastAsia="zh-CN"/>
        </w:rPr>
        <w:t>递交时间：自采购公告发布之日起至202</w:t>
      </w:r>
      <w:r>
        <w:rPr>
          <w:rFonts w:hint="eastAsia" w:ascii="方正仿宋" w:hAnsi="方正仿宋" w:eastAsia="方正仿宋" w:cs="方正仿宋"/>
          <w:color w:val="auto"/>
          <w:sz w:val="32"/>
          <w:szCs w:val="32"/>
          <w:lang w:val="en-US" w:eastAsia="zh-CN"/>
        </w:rPr>
        <w:t>6</w:t>
      </w:r>
      <w:r>
        <w:rPr>
          <w:rFonts w:hint="eastAsia" w:ascii="方正仿宋" w:hAnsi="方正仿宋" w:eastAsia="方正仿宋" w:cs="方正仿宋"/>
          <w:color w:val="auto"/>
          <w:sz w:val="32"/>
          <w:szCs w:val="32"/>
          <w:lang w:eastAsia="zh-CN"/>
        </w:rPr>
        <w:t>年</w:t>
      </w:r>
      <w:r>
        <w:rPr>
          <w:rFonts w:hint="eastAsia" w:ascii="方正仿宋" w:hAnsi="方正仿宋" w:eastAsia="方正仿宋" w:cs="方正仿宋"/>
          <w:color w:val="auto"/>
          <w:sz w:val="32"/>
          <w:szCs w:val="32"/>
          <w:lang w:val="en-US" w:eastAsia="zh-CN"/>
        </w:rPr>
        <w:t>6</w:t>
      </w:r>
      <w:r>
        <w:rPr>
          <w:rFonts w:hint="eastAsia" w:ascii="方正仿宋" w:hAnsi="方正仿宋" w:eastAsia="方正仿宋" w:cs="方正仿宋"/>
          <w:color w:val="auto"/>
          <w:sz w:val="32"/>
          <w:szCs w:val="32"/>
          <w:lang w:eastAsia="zh-CN"/>
        </w:rPr>
        <w:t>月</w:t>
      </w:r>
      <w:r>
        <w:rPr>
          <w:rFonts w:hint="eastAsia" w:ascii="方正仿宋" w:hAnsi="方正仿宋" w:eastAsia="方正仿宋" w:cs="方正仿宋"/>
          <w:color w:val="auto"/>
          <w:sz w:val="32"/>
          <w:szCs w:val="32"/>
          <w:lang w:val="en-US" w:eastAsia="zh-CN"/>
        </w:rPr>
        <w:t>9</w:t>
      </w:r>
      <w:r>
        <w:rPr>
          <w:rFonts w:hint="eastAsia" w:ascii="方正仿宋" w:hAnsi="方正仿宋" w:eastAsia="方正仿宋" w:cs="方正仿宋"/>
          <w:color w:val="auto"/>
          <w:sz w:val="32"/>
          <w:szCs w:val="32"/>
          <w:lang w:eastAsia="zh-CN"/>
        </w:rPr>
        <w:t>日北京时间</w:t>
      </w:r>
      <w:r>
        <w:rPr>
          <w:rFonts w:hint="eastAsia" w:ascii="方正仿宋" w:hAnsi="方正仿宋" w:eastAsia="方正仿宋" w:cs="方正仿宋"/>
          <w:color w:val="auto"/>
          <w:sz w:val="32"/>
          <w:szCs w:val="32"/>
          <w:lang w:val="en-US" w:eastAsia="zh-CN"/>
        </w:rPr>
        <w:t>12</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00止</w:t>
      </w:r>
      <w:r>
        <w:rPr>
          <w:rFonts w:hint="eastAsia" w:ascii="方正仿宋" w:hAnsi="方正仿宋" w:eastAsia="方正仿宋" w:cs="方正仿宋"/>
          <w:color w:val="auto"/>
          <w:sz w:val="32"/>
          <w:szCs w:val="32"/>
          <w:lang w:eastAsia="zh-CN"/>
        </w:rPr>
        <w:t>；</w:t>
      </w:r>
      <w:r>
        <w:rPr>
          <w:rFonts w:hint="eastAsia" w:ascii="方正仿宋" w:hAnsi="方正仿宋" w:eastAsia="方正仿宋" w:cs="方正仿宋"/>
          <w:color w:val="auto"/>
          <w:sz w:val="32"/>
          <w:szCs w:val="32"/>
          <w:lang w:val="en-US" w:eastAsia="zh-CN"/>
        </w:rPr>
        <w:t>递交地点：重庆市巴南区第二人民医院财务科采购办公室。</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（三）比价地点：重庆市巴南区第二人民医院临时办公用房会议室。</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（四）其他</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 w:hAnsi="方正仿宋" w:eastAsia="方正仿宋" w:cs="方正仿宋"/>
          <w:color w:val="auto"/>
          <w:kern w:val="2"/>
          <w:sz w:val="32"/>
          <w:szCs w:val="32"/>
          <w:lang w:val="en-US" w:eastAsia="zh-CN" w:bidi="ar-SA"/>
        </w:rPr>
        <w:t>本项目不接受联合体投标。</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比价</w:t>
      </w:r>
      <w:r>
        <w:rPr>
          <w:rFonts w:hint="eastAsia" w:ascii="黑体" w:hAnsi="黑体" w:eastAsia="黑体" w:cs="黑体"/>
          <w:color w:val="auto"/>
          <w:sz w:val="32"/>
          <w:szCs w:val="32"/>
        </w:rPr>
        <w:t>有关规定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（一）法定代表人为同一个人的两个及两个以上母公司、全资子公司及其控股公司，都不得在同一项目中同时参与比价采购。</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（二）同一合同包的货物，制造商参与比价的，不得再委托代理商参与。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（三）凡有意参加比价的供应商，请于公告发布之日起至报名截止时间之前，在</w:t>
      </w:r>
      <w:r>
        <w:rPr>
          <w:rFonts w:hint="eastAsia" w:ascii="方正仿宋" w:hAnsi="方正仿宋" w:eastAsia="方正仿宋" w:cs="方正仿宋"/>
          <w:color w:val="auto"/>
          <w:kern w:val="2"/>
          <w:sz w:val="32"/>
          <w:szCs w:val="32"/>
          <w:lang w:val="en-US" w:eastAsia="zh-CN" w:bidi="ar-SA"/>
        </w:rPr>
        <w:fldChar w:fldCharType="begin"/>
      </w:r>
      <w:r>
        <w:rPr>
          <w:rFonts w:hint="eastAsia" w:ascii="方正仿宋" w:hAnsi="方正仿宋" w:eastAsia="方正仿宋" w:cs="方正仿宋"/>
          <w:color w:val="auto"/>
          <w:kern w:val="2"/>
          <w:sz w:val="32"/>
          <w:szCs w:val="32"/>
          <w:lang w:val="en-US" w:eastAsia="zh-CN" w:bidi="ar-SA"/>
        </w:rPr>
        <w:instrText xml:space="preserve"> HYPERLINK "http://www.bnzw.gov.cn/login/index.aspx" \t "_blank" </w:instrText>
      </w:r>
      <w:r>
        <w:rPr>
          <w:rFonts w:hint="eastAsia" w:ascii="方正仿宋" w:hAnsi="方正仿宋" w:eastAsia="方正仿宋" w:cs="方正仿宋"/>
          <w:color w:val="auto"/>
          <w:kern w:val="2"/>
          <w:sz w:val="32"/>
          <w:szCs w:val="32"/>
          <w:lang w:val="en-US" w:eastAsia="zh-CN" w:bidi="ar-SA"/>
        </w:rPr>
        <w:fldChar w:fldCharType="separate"/>
      </w:r>
      <w:r>
        <w:rPr>
          <w:rFonts w:hint="eastAsia" w:ascii="方正仿宋" w:hAnsi="方正仿宋" w:eastAsia="方正仿宋" w:cs="方正仿宋"/>
          <w:color w:val="auto"/>
          <w:kern w:val="2"/>
          <w:sz w:val="32"/>
          <w:szCs w:val="32"/>
          <w:lang w:val="en-US" w:eastAsia="zh-CN" w:bidi="ar-SA"/>
        </w:rPr>
        <w:t>重庆市巴南区第二人民医院网站</w:t>
      </w:r>
      <w:r>
        <w:rPr>
          <w:rFonts w:hint="eastAsia" w:ascii="方正仿宋" w:hAnsi="方正仿宋" w:eastAsia="方正仿宋" w:cs="方正仿宋"/>
          <w:color w:val="auto"/>
          <w:kern w:val="2"/>
          <w:sz w:val="32"/>
          <w:szCs w:val="32"/>
          <w:lang w:val="en-US" w:eastAsia="zh-CN" w:bidi="ar-SA"/>
        </w:rPr>
        <w:fldChar w:fldCharType="end"/>
      </w:r>
      <w:r>
        <w:rPr>
          <w:rFonts w:hint="eastAsia" w:ascii="方正仿宋" w:hAnsi="方正仿宋" w:eastAsia="方正仿宋" w:cs="方正仿宋"/>
          <w:color w:val="auto"/>
          <w:kern w:val="2"/>
          <w:sz w:val="32"/>
          <w:szCs w:val="32"/>
          <w:lang w:val="en-US" w:eastAsia="zh-CN" w:bidi="ar-SA"/>
        </w:rPr>
        <w:t>（http://bnqhxyy.cn/）下载查看本项目需求文件以及变更公告等比价采购前公布的所有项目资料，无论供应商下载查看与否，均视为已知晓所有比价采购实质性要求内容。</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（四）无论比价结果如何，供应商参与本项目的所有费用均自行承担。</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（五）供应商不得围标、串标，如违反采购相关法律法规，将纳入失信供应商处理。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（六）供应商必须严格按照货物要求及商务条款投报与之要求相符或高于的货物及服务，若其中任意条款不能满足，则视为无效报价。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 w:hAnsi="方正仿宋" w:eastAsia="方正仿宋" w:cs="方正仿宋"/>
          <w:color w:val="auto"/>
          <w:kern w:val="2"/>
          <w:sz w:val="32"/>
          <w:szCs w:val="32"/>
          <w:lang w:val="en-US" w:eastAsia="zh-CN" w:bidi="ar-SA"/>
        </w:rPr>
        <w:t>（七）成交供应商提供的货物必须符合相关行业标准，如达不到相关标准，采购人有权向成交供应商提出解除合同。</w:t>
      </w:r>
    </w:p>
    <w:p>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、项目</w:t>
      </w:r>
      <w:r>
        <w:rPr>
          <w:rFonts w:hint="eastAsia" w:ascii="黑体" w:hAnsi="黑体" w:eastAsia="黑体" w:cs="黑体"/>
          <w:color w:val="auto"/>
          <w:sz w:val="32"/>
          <w:szCs w:val="32"/>
          <w:lang w:val="en-US" w:eastAsia="zh-CN"/>
        </w:rPr>
        <w:t>参数</w:t>
      </w:r>
      <w:r>
        <w:rPr>
          <w:rFonts w:hint="eastAsia" w:ascii="黑体" w:hAnsi="黑体" w:eastAsia="黑体" w:cs="黑体"/>
          <w:color w:val="auto"/>
          <w:sz w:val="32"/>
          <w:szCs w:val="32"/>
        </w:rPr>
        <w:t>要求</w:t>
      </w:r>
    </w:p>
    <w:tbl>
      <w:tblPr>
        <w:tblStyle w:val="13"/>
        <w:tblW w:w="887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6"/>
        <w:gridCol w:w="1875"/>
        <w:gridCol w:w="1755"/>
        <w:gridCol w:w="1350"/>
        <w:gridCol w:w="1545"/>
        <w:gridCol w:w="15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限价（元）</w:t>
            </w:r>
          </w:p>
        </w:tc>
        <w:tc>
          <w:tcPr>
            <w:tcW w:w="15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腕带（成人）</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≥268*35mm</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0.8</w:t>
            </w:r>
            <w:r>
              <w:rPr>
                <w:rFonts w:hint="eastAsia" w:ascii="宋体" w:hAnsi="宋体" w:cs="宋体"/>
                <w:i w:val="0"/>
                <w:iCs w:val="0"/>
                <w:color w:val="000000"/>
                <w:kern w:val="0"/>
                <w:sz w:val="22"/>
                <w:szCs w:val="22"/>
                <w:u w:val="none"/>
                <w:lang w:val="en-US" w:eastAsia="zh-CN" w:bidi="ar"/>
              </w:rPr>
              <w:t>5</w:t>
            </w:r>
          </w:p>
        </w:tc>
        <w:tc>
          <w:tcPr>
            <w:tcW w:w="1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eastAsia="zh-CN"/>
              </w:rPr>
            </w:pPr>
            <w:r>
              <w:rPr>
                <w:rFonts w:hint="eastAsia" w:ascii="宋体" w:hAnsi="宋体" w:eastAsia="宋体" w:cs="宋体"/>
                <w:color w:val="auto"/>
                <w:kern w:val="2"/>
                <w:sz w:val="24"/>
                <w:szCs w:val="24"/>
                <w:lang w:val="en-US" w:eastAsia="zh-CN" w:bidi="ar-SA"/>
              </w:rPr>
              <w:t>合同</w:t>
            </w:r>
            <w:r>
              <w:rPr>
                <w:rFonts w:hint="eastAsia" w:ascii="宋体" w:hAnsi="宋体" w:cs="宋体"/>
                <w:color w:val="auto"/>
                <w:kern w:val="2"/>
                <w:sz w:val="24"/>
                <w:szCs w:val="24"/>
                <w:lang w:val="en-US" w:eastAsia="zh-CN" w:bidi="ar-SA"/>
              </w:rPr>
              <w:t>总额控制在4.9</w:t>
            </w:r>
            <w:r>
              <w:rPr>
                <w:rFonts w:hint="eastAsia" w:ascii="宋体" w:hAnsi="宋体" w:eastAsia="宋体" w:cs="宋体"/>
                <w:color w:val="auto"/>
                <w:kern w:val="2"/>
                <w:sz w:val="24"/>
                <w:szCs w:val="24"/>
                <w:lang w:val="en-US" w:eastAsia="zh-CN" w:bidi="ar-SA"/>
              </w:rPr>
              <w:t>万元</w:t>
            </w:r>
            <w:r>
              <w:rPr>
                <w:rFonts w:hint="eastAsia" w:ascii="宋体" w:hAnsi="宋体" w:cs="宋体"/>
                <w:color w:val="auto"/>
                <w:kern w:val="2"/>
                <w:sz w:val="24"/>
                <w:szCs w:val="24"/>
                <w:lang w:val="en-US" w:eastAsia="zh-CN" w:bidi="ar-SA"/>
              </w:rPr>
              <w:t>以内</w:t>
            </w:r>
            <w:r>
              <w:rPr>
                <w:rFonts w:hint="eastAsia" w:ascii="宋体" w:hAnsi="宋体" w:eastAsia="宋体" w:cs="宋体"/>
                <w:color w:val="auto"/>
                <w:kern w:val="2"/>
                <w:sz w:val="24"/>
                <w:szCs w:val="24"/>
                <w:lang w:val="en-US" w:eastAsia="zh-CN" w:bidi="ar-SA"/>
              </w:rPr>
              <w:t>，合同期内供货总金额达到最高限价，合同立即终止。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腕带（新生儿）</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≥170*18mm</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0.4</w:t>
            </w:r>
            <w:r>
              <w:rPr>
                <w:rFonts w:hint="eastAsia" w:ascii="宋体" w:hAnsi="宋体" w:cs="宋体"/>
                <w:i w:val="0"/>
                <w:iCs w:val="0"/>
                <w:color w:val="000000"/>
                <w:kern w:val="0"/>
                <w:sz w:val="22"/>
                <w:szCs w:val="22"/>
                <w:u w:val="none"/>
                <w:lang w:val="en-US" w:eastAsia="zh-CN" w:bidi="ar"/>
              </w:rPr>
              <w:t>5</w:t>
            </w: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875"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腕带卡口</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≥30*15mm 　 100个/包</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护理卡片</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≥33*48mm</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r>
              <w:rPr>
                <w:rFonts w:hint="eastAsia" w:ascii="宋体" w:hAnsi="宋体" w:cs="宋体"/>
                <w:i w:val="0"/>
                <w:iCs w:val="0"/>
                <w:color w:val="000000"/>
                <w:kern w:val="0"/>
                <w:sz w:val="22"/>
                <w:szCs w:val="22"/>
                <w:u w:val="none"/>
                <w:lang w:val="en-US" w:eastAsia="zh-CN" w:bidi="ar"/>
              </w:rPr>
              <w:t>3</w:t>
            </w: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  卡</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≥68*100mm</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  识</w:t>
            </w:r>
          </w:p>
        </w:tc>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≥80*14mm</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7.00</w:t>
            </w: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床头刷</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塑料、无纺布、涤棉</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5.00</w:t>
            </w: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床头套（湿床套）</w:t>
            </w:r>
          </w:p>
        </w:tc>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≥10*25mm    50个/包</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w:t>
            </w:r>
            <w:r>
              <w:rPr>
                <w:rFonts w:hint="eastAsia" w:ascii="宋体" w:hAnsi="宋体" w:cs="宋体"/>
                <w:i w:val="0"/>
                <w:iCs w:val="0"/>
                <w:color w:val="000000"/>
                <w:kern w:val="0"/>
                <w:sz w:val="22"/>
                <w:szCs w:val="22"/>
                <w:u w:val="none"/>
                <w:lang w:val="en-US" w:eastAsia="zh-CN" w:bidi="ar"/>
              </w:rPr>
              <w:t>20</w:t>
            </w:r>
          </w:p>
        </w:tc>
        <w:tc>
          <w:tcPr>
            <w:tcW w:w="1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
          <w:bCs/>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方正仿宋" w:hAnsi="方正仿宋" w:eastAsia="方正仿宋" w:cs="方正仿宋"/>
          <w:color w:val="auto"/>
          <w:kern w:val="2"/>
          <w:sz w:val="32"/>
          <w:szCs w:val="32"/>
          <w:lang w:val="en-US" w:eastAsia="zh-CN" w:bidi="ar-SA"/>
        </w:rPr>
        <w:t>1.投标人</w:t>
      </w:r>
      <w:r>
        <w:rPr>
          <w:rFonts w:hint="eastAsia" w:ascii="仿宋_GB2312" w:hAnsi="仿宋_GB2312" w:eastAsia="仿宋_GB2312" w:cs="仿宋_GB2312"/>
          <w:b w:val="0"/>
          <w:bCs w:val="0"/>
          <w:kern w:val="2"/>
          <w:sz w:val="32"/>
          <w:szCs w:val="32"/>
          <w:lang w:val="en-US" w:eastAsia="zh-CN" w:bidi="ar-SA"/>
        </w:rPr>
        <w:t>提供正规合格产品及质检报告，</w:t>
      </w:r>
      <w:r>
        <w:rPr>
          <w:rFonts w:hint="eastAsia" w:ascii="仿宋_GB2312" w:hAnsi="仿宋_GB2312" w:eastAsia="仿宋_GB2312" w:cs="仿宋_GB2312"/>
          <w:b w:val="0"/>
          <w:bCs w:val="0"/>
          <w:sz w:val="32"/>
          <w:szCs w:val="32"/>
          <w:lang w:val="en-US" w:eastAsia="zh-CN"/>
        </w:rPr>
        <w:t>所投产品必须保障招标人正常使用要求。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40" w:firstLineChars="200"/>
        <w:textAlignment w:val="auto"/>
        <w:rPr>
          <w:rFonts w:hint="default"/>
          <w:lang w:val="en-US" w:eastAsia="zh-CN"/>
        </w:rPr>
      </w:pPr>
      <w:r>
        <w:rPr>
          <w:rFonts w:hint="eastAsia" w:ascii="仿宋_GB2312" w:hAnsi="仿宋_GB2312" w:eastAsia="仿宋_GB2312" w:cs="仿宋_GB2312"/>
          <w:b w:val="0"/>
          <w:bCs w:val="0"/>
          <w:sz w:val="32"/>
          <w:szCs w:val="32"/>
          <w:lang w:val="en-US" w:eastAsia="zh-CN"/>
        </w:rPr>
        <w:t>2.投标人所提供的产品不能满足招标人正常使用要求，又不能提供替代产品的，招标人有权单方面终止合同，造成的一切损失由投标人承担。</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七</w:t>
      </w:r>
      <w:r>
        <w:rPr>
          <w:rFonts w:hint="eastAsia" w:ascii="黑体" w:hAnsi="黑体" w:eastAsia="黑体" w:cs="黑体"/>
          <w:color w:val="auto"/>
          <w:sz w:val="32"/>
          <w:szCs w:val="32"/>
        </w:rPr>
        <w:t>、商务条款</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0" w:name="_Toc267320049"/>
      <w:r>
        <w:rPr>
          <w:rFonts w:hint="eastAsia" w:ascii="方正仿宋" w:hAnsi="方正仿宋" w:eastAsia="方正仿宋" w:cs="方正仿宋"/>
          <w:color w:val="auto"/>
          <w:kern w:val="2"/>
          <w:sz w:val="32"/>
          <w:szCs w:val="32"/>
          <w:lang w:val="en-US" w:eastAsia="zh-CN" w:bidi="ar-SA"/>
        </w:rPr>
        <w:t>（一）实施时间、地点及验收方式</w:t>
      </w:r>
      <w:bookmarkEnd w:id="0"/>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1.实施时间</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合同签订之日起，为期一年。</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2.交货地点</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highlight w:val="yellow"/>
          <w:lang w:val="en-US" w:eastAsia="zh-CN" w:bidi="ar-SA"/>
        </w:rPr>
        <w:t>交货地点：采购人指定地点，送货费用由供应商承担（非一次性采购，按采购人需求分批或零星定制送货，</w:t>
      </w:r>
      <w:r>
        <w:rPr>
          <w:rFonts w:hint="default" w:ascii="方正仿宋" w:hAnsi="方正仿宋" w:eastAsia="方正仿宋" w:cs="方正仿宋"/>
          <w:color w:val="auto"/>
          <w:kern w:val="2"/>
          <w:sz w:val="32"/>
          <w:szCs w:val="32"/>
          <w:highlight w:val="yellow"/>
          <w:lang w:val="en-US" w:eastAsia="zh-CN" w:bidi="ar-SA"/>
        </w:rPr>
        <w:t>供应商因知悉运行中的困难</w:t>
      </w:r>
      <w:r>
        <w:rPr>
          <w:rFonts w:hint="eastAsia" w:ascii="方正仿宋" w:hAnsi="方正仿宋" w:eastAsia="方正仿宋" w:cs="方正仿宋"/>
          <w:color w:val="auto"/>
          <w:kern w:val="2"/>
          <w:sz w:val="32"/>
          <w:szCs w:val="32"/>
          <w:highlight w:val="yellow"/>
          <w:lang w:val="en-US" w:eastAsia="zh-CN" w:bidi="ar-SA"/>
        </w:rPr>
        <w:t>合理测算成本，如快递物流方式送货，需要采购人自行取货的则拒收）。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3.验收方式</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1" w:name="_Toc267320050"/>
      <w:r>
        <w:rPr>
          <w:rFonts w:hint="eastAsia" w:ascii="方正仿宋" w:hAnsi="方正仿宋" w:eastAsia="方正仿宋" w:cs="方正仿宋"/>
          <w:color w:val="auto"/>
          <w:kern w:val="2"/>
          <w:sz w:val="32"/>
          <w:szCs w:val="32"/>
          <w:lang w:val="en-US" w:eastAsia="zh-CN" w:bidi="ar-SA"/>
        </w:rPr>
        <w:t>采购人自行验收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（二）质量保证及售后服务</w:t>
      </w:r>
      <w:bookmarkEnd w:id="1"/>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1.产品质量保证期</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（1）产品质保1年，从验收合格之日算起。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（2）供应商的质量保证期承诺优于上述年限的，按供应商实际承诺执行。</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2.售后服务内容</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按照厂家标准售后服务执行。</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bookmarkStart w:id="2" w:name="_Toc267320051"/>
      <w:r>
        <w:rPr>
          <w:rFonts w:hint="eastAsia" w:ascii="方正仿宋" w:hAnsi="方正仿宋" w:eastAsia="方正仿宋" w:cs="方正仿宋"/>
          <w:color w:val="auto"/>
          <w:kern w:val="2"/>
          <w:sz w:val="32"/>
          <w:szCs w:val="32"/>
          <w:lang w:val="en-US" w:eastAsia="zh-CN" w:bidi="ar-SA"/>
        </w:rPr>
        <w:t>（二）项目报价</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1.本次报价须为人民币报价，投标人按照统一折扣进行填报，折扣报价不得超过100%。</w:t>
      </w:r>
    </w:p>
    <w:p>
      <w:pPr>
        <w:pStyle w:val="8"/>
        <w:keepNext w:val="0"/>
        <w:keepLines w:val="0"/>
        <w:pageBreakBefore w:val="0"/>
        <w:widowControl w:val="0"/>
        <w:kinsoku/>
        <w:wordWrap/>
        <w:overflowPunct/>
        <w:topLinePunct w:val="0"/>
        <w:autoSpaceDE/>
        <w:autoSpaceDN/>
        <w:bidi w:val="0"/>
        <w:adjustRightInd/>
        <w:snapToGrid w:val="0"/>
        <w:spacing w:line="440" w:lineRule="exact"/>
        <w:ind w:firstLine="640" w:firstLineChars="200"/>
        <w:jc w:val="both"/>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2.折扣填报说明：例如投标供应商在本项目投标报价为75%。（以腕带（成人）为例，该项目成交金额为：0.85元/条*75%=0.6375元/条）。其他项目以此类推。</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3.未按采购人要求报价或超过单价最高限价或漏报影响评标结果的，视为未完全响应。</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4.本项目供应商报价包含但不限于所需货物原材料费、制作加工费、质保费、仓储运输费、装卸费、保险费、包装费、调换服务费、型号更换的损耗、各种应纳的税费和与本项目有关的其他费用。因供应商自身原因造成漏报、少报皆由其自行承担责任，采购人不再补偿。</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（三）付款方式</w:t>
      </w:r>
      <w:bookmarkEnd w:id="2"/>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据实结算，次月支付。根据甲乙双方核对当月订单数量，签字确认后，乙方开具正规发票，甲方根据发票金额于次月30日内支付。（单项成交价格×单项订单数量，汇总后形成总价）。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（四）知识产权</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采购人在中华人民共和国境内使用供应商提供的货物及服务时免受第三方提出的侵犯其专利权或其它知识产权的起诉。如果第三方提出侵权指控，成交供应商应承担由此而引起的一切法律责任和费用。</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（五）其他</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其他未尽事宜由成交供应商和采购人双方在采购合同中详细约定。</w:t>
      </w:r>
    </w:p>
    <w:p>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八、文件制作要求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参选供应商提供的所有资料无论中选与否，均不予退还。本比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比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比价文书被拒绝接收。比价文书制作要求如下：</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 资质文件部分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1.一般资质文件内容要求</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（1）具有独立承担民事责任的能力；</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检查内容：供应商法人营业执照（复印件）、供应商法定代表人身份证明和法定代表人授权代表委托书。</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不具有独立法人的分公司、办事处等分支机构不能参加比价。</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（2）具有良好的商业信誉和健全的财务会计制度；</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（3）具有履行合同所必需的设备和专业技术能力；</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（4）有依法缴纳税收和社会保障资金的良好记录；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（5）参加政府采购活动前三年内，在经营活动中没有重大违法记录。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上述2-5项检查内容：供应商提供基本资格承诺函。（格式附后）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其中第4项，如授权代表参与投标的还需提供该项目授权代表近三个月缴纳社会保险参保证明。（法人参加的不需要）</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2.特定资格条件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无</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以上证照必须年审合格，且在有效期内；复印件必须清晰可见，且加盖供应商单位鲜章；函件必须为加盖鲜章的原件；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（二）技术文件部分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1.投标货物技术性能、技术指标介绍；</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2.响应文件与比价文件中服务技术和商务条款参数差异表(应对技术参数中的所有条款进行逐一应答，还需在“比价文件对应页码”栏内写明技术支持文件的页码)；</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3.投标货物的质量检测报告；</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4.技术方案中要求的其他必要资料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（三）报价文件部分</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九、成交供应商确定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（一）评审办法</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1、评审小组将依照本比价文书相关规定对投标文件进行资质先审，资质合格再对技术文件进行评审，均合格再根据报价文件按照由低到高的顺序提出成交候选人，并编写评审报告。</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（二）评审细则：</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1、资格符合性检查</w:t>
      </w:r>
    </w:p>
    <w:tbl>
      <w:tblPr>
        <w:tblStyle w:val="13"/>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3245" w:type="dxa"/>
            <w:gridSpan w:val="2"/>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检查因素</w:t>
            </w:r>
          </w:p>
        </w:tc>
        <w:tc>
          <w:tcPr>
            <w:tcW w:w="5676" w:type="dxa"/>
            <w:noWrap w:val="0"/>
            <w:vAlign w:val="center"/>
          </w:tcPr>
          <w:p>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pPr>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（一）</w:t>
            </w:r>
          </w:p>
        </w:tc>
        <w:tc>
          <w:tcPr>
            <w:tcW w:w="768" w:type="dxa"/>
            <w:vMerge w:val="restart"/>
            <w:noWrap w:val="0"/>
            <w:vAlign w:val="center"/>
          </w:tcPr>
          <w:p>
            <w:pPr>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《中华人民共和国政府采购法》第二十二条规定</w:t>
            </w: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1.具有独立承担民事责任的能力</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w:t>
            </w:r>
            <w:r>
              <w:rPr>
                <w:rFonts w:hint="eastAsia" w:eastAsia="仿宋"/>
                <w:color w:val="auto"/>
                <w:kern w:val="0"/>
                <w:sz w:val="21"/>
                <w:szCs w:val="21"/>
              </w:rPr>
              <w:t>供应商</w:t>
            </w:r>
            <w:r>
              <w:rPr>
                <w:rFonts w:hint="eastAsia" w:ascii="仿宋" w:hAnsi="仿宋" w:eastAsia="仿宋" w:cs="黑体"/>
                <w:color w:val="auto"/>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color w:val="auto"/>
                <w:sz w:val="21"/>
                <w:szCs w:val="21"/>
              </w:rPr>
              <w:t>；</w:t>
            </w:r>
          </w:p>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ascii="仿宋" w:hAnsi="仿宋" w:eastAsia="仿宋" w:cs="仿宋"/>
                <w:color w:val="auto"/>
                <w:sz w:val="21"/>
                <w:szCs w:val="21"/>
              </w:rPr>
              <w:t>.</w:t>
            </w:r>
            <w:r>
              <w:rPr>
                <w:rFonts w:hint="eastAsia" w:ascii="仿宋" w:hAnsi="仿宋" w:eastAsia="仿宋" w:cs="仿宋"/>
                <w:color w:val="auto"/>
                <w:sz w:val="21"/>
                <w:szCs w:val="21"/>
              </w:rPr>
              <w:t>供应商法定代表人身份证明书和法定代表人授权代表委托书。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2.具有良好的商业信誉和健全的财务会计制度</w:t>
            </w:r>
          </w:p>
        </w:tc>
        <w:tc>
          <w:tcPr>
            <w:tcW w:w="5676" w:type="dxa"/>
            <w:vMerge w:val="restart"/>
            <w:noWrap w:val="0"/>
            <w:vAlign w:val="center"/>
          </w:tcPr>
          <w:p>
            <w:pPr>
              <w:snapToGrid w:val="0"/>
              <w:spacing w:line="440" w:lineRule="exact"/>
              <w:rPr>
                <w:rFonts w:hint="eastAsia" w:ascii="方正仿宋_GBK" w:hAnsi="方正仿宋_GBK" w:eastAsia="方正仿宋_GBK" w:cs="方正仿宋_GBK"/>
                <w:color w:val="auto"/>
                <w:sz w:val="30"/>
                <w:szCs w:val="30"/>
                <w:lang w:val="en-US" w:eastAsia="zh-CN"/>
              </w:rPr>
            </w:pPr>
            <w:r>
              <w:rPr>
                <w:rFonts w:hint="eastAsia" w:ascii="仿宋" w:hAnsi="仿宋" w:eastAsia="仿宋" w:cs="仿宋"/>
                <w:color w:val="auto"/>
                <w:sz w:val="21"/>
                <w:szCs w:val="21"/>
              </w:rPr>
              <w:t>供应商提供“基本资格条件承诺函”。</w:t>
            </w:r>
            <w:r>
              <w:rPr>
                <w:rFonts w:hint="eastAsia" w:ascii="仿宋" w:hAnsi="仿宋" w:eastAsia="仿宋" w:cs="仿宋"/>
                <w:color w:val="auto"/>
                <w:sz w:val="21"/>
                <w:szCs w:val="21"/>
                <w:lang w:val="en-US" w:eastAsia="zh-CN"/>
              </w:rPr>
              <w:t>其中第4项，如授权代表参与投标的还需提供该项目授权代表近三个月缴纳社会保险参保证明（法人参加的则不需要）</w:t>
            </w:r>
          </w:p>
          <w:p>
            <w:pPr>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3.具有履行合同所必需的设备和专业技术能力</w:t>
            </w:r>
          </w:p>
        </w:tc>
        <w:tc>
          <w:tcPr>
            <w:tcW w:w="5676" w:type="dxa"/>
            <w:vMerge w:val="continue"/>
            <w:noWrap w:val="0"/>
            <w:vAlign w:val="center"/>
          </w:tcPr>
          <w:p>
            <w:pPr>
              <w:ind w:firstLine="364"/>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4.有依法缴纳税收和社会保障金的良好记录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5.参加政府采购活动前三年内，在经营活动中没有重大违法记录</w:t>
            </w:r>
          </w:p>
        </w:tc>
        <w:tc>
          <w:tcPr>
            <w:tcW w:w="5676" w:type="dxa"/>
            <w:vMerge w:val="continue"/>
            <w:noWrap w:val="0"/>
            <w:vAlign w:val="center"/>
          </w:tcPr>
          <w:p>
            <w:pPr>
              <w:spacing w:line="240" w:lineRule="auto"/>
              <w:ind w:firstLine="0" w:firstLineChars="0"/>
              <w:jc w:val="left"/>
              <w:rPr>
                <w:rFonts w:hint="eastAsia" w:ascii="仿宋" w:hAnsi="仿宋" w:eastAsia="仿宋" w:cs="仿宋"/>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6.法律、行政法规规定的其他条件</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7.本项目的特定资格要求</w:t>
            </w:r>
          </w:p>
        </w:tc>
        <w:tc>
          <w:tcPr>
            <w:tcW w:w="5676" w:type="dxa"/>
            <w:noWrap w:val="0"/>
            <w:vAlign w:val="center"/>
          </w:tcPr>
          <w:p>
            <w:pPr>
              <w:snapToGrid w:val="0"/>
              <w:spacing w:line="440" w:lineRule="exac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pPr>
              <w:spacing w:line="240" w:lineRule="auto"/>
              <w:ind w:firstLine="0" w:firstLineChars="0"/>
              <w:jc w:val="center"/>
              <w:rPr>
                <w:rFonts w:hint="default" w:ascii="仿宋" w:hAnsi="仿宋" w:eastAsia="仿宋" w:cs="仿宋"/>
                <w:color w:val="auto"/>
                <w:sz w:val="21"/>
                <w:szCs w:val="21"/>
              </w:rPr>
            </w:pPr>
            <w:r>
              <w:rPr>
                <w:rFonts w:hint="default" w:ascii="仿宋" w:hAnsi="仿宋" w:eastAsia="仿宋" w:cs="仿宋"/>
                <w:color w:val="auto"/>
                <w:sz w:val="21"/>
                <w:szCs w:val="21"/>
              </w:rPr>
              <w:t>（</w:t>
            </w:r>
            <w:r>
              <w:rPr>
                <w:rFonts w:hint="eastAsia" w:ascii="仿宋" w:hAnsi="仿宋" w:eastAsia="仿宋" w:cs="仿宋"/>
                <w:color w:val="auto"/>
                <w:sz w:val="21"/>
                <w:szCs w:val="21"/>
                <w:lang w:eastAsia="zh-CN"/>
              </w:rPr>
              <w:t>二</w:t>
            </w:r>
            <w:r>
              <w:rPr>
                <w:rFonts w:hint="default" w:ascii="仿宋" w:hAnsi="仿宋" w:eastAsia="仿宋" w:cs="仿宋"/>
                <w:color w:val="auto"/>
                <w:sz w:val="21"/>
                <w:szCs w:val="21"/>
              </w:rPr>
              <w:t>）</w:t>
            </w:r>
          </w:p>
        </w:tc>
        <w:tc>
          <w:tcPr>
            <w:tcW w:w="3245" w:type="dxa"/>
            <w:gridSpan w:val="2"/>
            <w:noWrap w:val="0"/>
            <w:vAlign w:val="center"/>
          </w:tcPr>
          <w:p>
            <w:pPr>
              <w:spacing w:line="240" w:lineRule="auto"/>
              <w:ind w:firstLine="0" w:firstLineChars="0"/>
              <w:jc w:val="center"/>
              <w:rPr>
                <w:rFonts w:hint="default" w:ascii="仿宋" w:hAnsi="仿宋" w:eastAsia="仿宋" w:cs="仿宋"/>
                <w:color w:val="auto"/>
                <w:sz w:val="21"/>
                <w:szCs w:val="21"/>
                <w:highlight w:val="yellow"/>
              </w:rPr>
            </w:pPr>
            <w:r>
              <w:rPr>
                <w:rFonts w:hint="default" w:ascii="仿宋" w:hAnsi="仿宋" w:eastAsia="仿宋" w:cs="仿宋"/>
                <w:color w:val="auto"/>
                <w:sz w:val="21"/>
                <w:szCs w:val="21"/>
                <w:highlight w:val="none"/>
              </w:rPr>
              <w:t>保证金</w:t>
            </w:r>
          </w:p>
        </w:tc>
        <w:tc>
          <w:tcPr>
            <w:tcW w:w="5676" w:type="dxa"/>
            <w:noWrap w:val="0"/>
            <w:vAlign w:val="center"/>
          </w:tcPr>
          <w:p>
            <w:pPr>
              <w:spacing w:line="240" w:lineRule="auto"/>
              <w:ind w:firstLine="0" w:firstLineChars="0"/>
              <w:jc w:val="left"/>
              <w:rPr>
                <w:rFonts w:hint="eastAsia" w:ascii="仿宋" w:hAnsi="仿宋" w:eastAsia="仿宋" w:cs="仿宋"/>
                <w:color w:val="auto"/>
                <w:sz w:val="21"/>
                <w:szCs w:val="21"/>
                <w:highlight w:val="yellow"/>
                <w:lang w:eastAsia="zh-CN"/>
              </w:rPr>
            </w:pPr>
            <w:r>
              <w:rPr>
                <w:rFonts w:hint="eastAsia" w:ascii="仿宋" w:hAnsi="仿宋" w:eastAsia="仿宋" w:cs="仿宋"/>
                <w:color w:val="auto"/>
                <w:sz w:val="21"/>
                <w:szCs w:val="21"/>
                <w:highlight w:val="none"/>
                <w:lang w:eastAsia="zh-CN"/>
              </w:rPr>
              <w:t>无</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 w:hAnsi="方正仿宋" w:eastAsia="方正仿宋" w:cs="方正仿宋"/>
          <w:color w:val="auto"/>
          <w:kern w:val="2"/>
          <w:sz w:val="32"/>
          <w:szCs w:val="32"/>
          <w:lang w:val="en-US" w:eastAsia="zh-CN" w:bidi="ar-SA"/>
        </w:rPr>
        <w:t>2、对响应文件的有效性、完整性和响应程度检查</w:t>
      </w:r>
    </w:p>
    <w:tbl>
      <w:tblPr>
        <w:tblStyle w:val="13"/>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186" w:type="dxa"/>
            <w:noWrap w:val="0"/>
            <w:vAlign w:val="center"/>
          </w:tcPr>
          <w:p>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vMerge w:val="restart"/>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vMerge w:val="restart"/>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color w:val="auto"/>
                <w:sz w:val="21"/>
                <w:szCs w:val="21"/>
              </w:rPr>
              <w:t>只能有一个有效报价，不得提交选择性报价。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vMerge w:val="continue"/>
            <w:noWrap w:val="0"/>
            <w:vAlign w:val="center"/>
          </w:tcPr>
          <w:p>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186"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提供采购文件正副本各</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noWrap w:val="0"/>
            <w:vAlign w:val="center"/>
          </w:tcPr>
          <w:p>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noWrap w:val="0"/>
            <w:vAlign w:val="center"/>
          </w:tcPr>
          <w:p>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186" w:type="dxa"/>
            <w:noWrap w:val="0"/>
            <w:vAlign w:val="center"/>
          </w:tcPr>
          <w:p>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color w:val="auto"/>
                <w:sz w:val="21"/>
                <w:szCs w:val="21"/>
              </w:rPr>
              <w:t>对</w:t>
            </w:r>
            <w:r>
              <w:rPr>
                <w:rFonts w:hint="eastAsia" w:ascii="仿宋" w:hAnsi="仿宋" w:eastAsia="仿宋" w:cs="仿宋"/>
                <w:color w:val="auto"/>
                <w:sz w:val="21"/>
                <w:szCs w:val="21"/>
                <w:lang w:eastAsia="zh-CN"/>
              </w:rPr>
              <w:t>采购文件</w:t>
            </w:r>
            <w:r>
              <w:rPr>
                <w:rFonts w:hint="eastAsia" w:ascii="仿宋" w:hAnsi="仿宋" w:eastAsia="仿宋" w:cs="仿宋"/>
                <w:color w:val="auto"/>
                <w:sz w:val="21"/>
                <w:szCs w:val="21"/>
              </w:rPr>
              <w:t>全篇规定的内容进行实质性响应。</w:t>
            </w:r>
            <w:r>
              <w:rPr>
                <w:rFonts w:hint="eastAsia" w:ascii="仿宋" w:hAnsi="仿宋" w:eastAsia="仿宋" w:cs="仿宋"/>
                <w:color w:val="auto"/>
                <w:sz w:val="21"/>
                <w:szCs w:val="21"/>
                <w:lang w:eastAsia="zh-CN"/>
              </w:rPr>
              <w:t>要求提供的资料是否完整。</w:t>
            </w:r>
          </w:p>
        </w:tc>
      </w:tr>
    </w:tbl>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（三）成交供应商的确定</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1、成交方法：最低价成交法。依照本比价文书相关规定对质量和服务均能满足实质性响应要求且所提交的报价最低（折扣系数最低）的供应商为此项目成交供应商。如报价最低供应商为2个或以上者，以报名的先后顺序确定项目成交供应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2、若成交供应商无故放弃成交资格，由此而产生的经济损失、经济责任和一切后果由成交供应商承担，并按政府采购法的有关规定进行严肃处理。</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kern w:val="2"/>
          <w:sz w:val="32"/>
          <w:szCs w:val="32"/>
          <w:lang w:val="en-US" w:eastAsia="zh-CN" w:bidi="ar-SA"/>
        </w:rPr>
        <w:t>（四）结果公示：成交结果在重庆市巴南区第二人民医院官网上公告,公告时间为1个工作日。</w:t>
      </w:r>
    </w:p>
    <w:p>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w:t>
      </w:r>
      <w:r>
        <w:rPr>
          <w:rFonts w:hint="default" w:ascii="黑体" w:hAnsi="黑体" w:eastAsia="黑体" w:cs="黑体"/>
          <w:color w:val="auto"/>
          <w:sz w:val="32"/>
          <w:szCs w:val="32"/>
          <w:lang w:val="en-US" w:eastAsia="zh-CN"/>
        </w:rPr>
        <w:t>、无效报价情形</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（一）资质审查不合格的（即供应商提交的资质文件不符合比价文书资质文件内容要求的）；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（二）比价文件未密封的；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（三）比价文件逾期送达的；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（四）没有按照比价文书要求由比价供应商法定代表人或授权代表签字并加盖公章的；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（五）报价超过最高限价的；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（六）未完全响应本比价文书技术方案及商务条款的；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（七）比价文件有多个投报方案或报价的；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（八）单位负责人为同一人或者存在直接控股、管理关系的不同供应商，在同一项目报价均无效；</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（九）供应商报价或者某些分项报价明显不合理或者低于成本，不能证明其报价合理性的；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 w:hAnsi="方正仿宋" w:eastAsia="方正仿宋" w:cs="方正仿宋"/>
          <w:color w:val="auto"/>
          <w:kern w:val="2"/>
          <w:sz w:val="32"/>
          <w:szCs w:val="32"/>
          <w:lang w:val="en-US" w:eastAsia="zh-CN" w:bidi="ar-SA"/>
        </w:rPr>
      </w:pPr>
      <w:r>
        <w:rPr>
          <w:rFonts w:hint="eastAsia" w:ascii="方正仿宋" w:hAnsi="方正仿宋" w:eastAsia="方正仿宋" w:cs="方正仿宋"/>
          <w:color w:val="auto"/>
          <w:kern w:val="2"/>
          <w:sz w:val="32"/>
          <w:szCs w:val="32"/>
          <w:lang w:val="en-US" w:eastAsia="zh-CN" w:bidi="ar-SA"/>
        </w:rPr>
        <w:t>（十）比价文件附有采购人不能接受的条件。</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 w:hAnsi="方正仿宋" w:eastAsia="方正仿宋" w:cs="方正仿宋"/>
          <w:color w:val="auto"/>
          <w:kern w:val="2"/>
          <w:sz w:val="32"/>
          <w:szCs w:val="32"/>
          <w:lang w:val="en-US" w:eastAsia="zh-CN" w:bidi="ar-SA"/>
        </w:rPr>
        <w:t>（十一）</w:t>
      </w:r>
      <w:r>
        <w:rPr>
          <w:rFonts w:hint="default" w:ascii="方正仿宋" w:hAnsi="方正仿宋" w:eastAsia="方正仿宋" w:cs="方正仿宋"/>
          <w:color w:val="auto"/>
          <w:kern w:val="2"/>
          <w:sz w:val="32"/>
          <w:szCs w:val="32"/>
          <w:lang w:val="en-US" w:eastAsia="zh-CN" w:bidi="ar-SA"/>
        </w:rPr>
        <w:t>未按规定格式和要求填写，内容不全或字迹模糊，辨认不清而影响评标定标的；</w:t>
      </w:r>
    </w:p>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640" w:firstLineChars="200"/>
        <w:textAlignment w:val="auto"/>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十、废标条款</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有下列情形之一的，重新组织采购或取消本次采购：</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 w:hAnsi="方正仿宋" w:eastAsia="方正仿宋" w:cs="方正仿宋"/>
          <w:color w:val="auto"/>
          <w:kern w:val="2"/>
          <w:sz w:val="32"/>
          <w:szCs w:val="32"/>
          <w:lang w:val="en-US" w:eastAsia="zh-CN" w:bidi="ar-SA"/>
        </w:rPr>
      </w:pPr>
      <w:r>
        <w:rPr>
          <w:rFonts w:hint="default" w:ascii="方正仿宋" w:hAnsi="方正仿宋" w:eastAsia="方正仿宋" w:cs="方正仿宋"/>
          <w:color w:val="auto"/>
          <w:kern w:val="2"/>
          <w:sz w:val="32"/>
          <w:szCs w:val="32"/>
          <w:lang w:val="en-US" w:eastAsia="zh-CN" w:bidi="ar-SA"/>
        </w:rPr>
        <w:t>（</w:t>
      </w:r>
      <w:r>
        <w:rPr>
          <w:rFonts w:hint="eastAsia" w:ascii="方正仿宋" w:hAnsi="方正仿宋" w:eastAsia="方正仿宋" w:cs="方正仿宋"/>
          <w:color w:val="auto"/>
          <w:kern w:val="2"/>
          <w:sz w:val="32"/>
          <w:szCs w:val="32"/>
          <w:lang w:val="en-US" w:eastAsia="zh-CN" w:bidi="ar-SA"/>
        </w:rPr>
        <w:t>一</w:t>
      </w:r>
      <w:r>
        <w:rPr>
          <w:rFonts w:hint="default" w:ascii="方正仿宋" w:hAnsi="方正仿宋" w:eastAsia="方正仿宋" w:cs="方正仿宋"/>
          <w:color w:val="auto"/>
          <w:kern w:val="2"/>
          <w:sz w:val="32"/>
          <w:szCs w:val="32"/>
          <w:lang w:val="en-US" w:eastAsia="zh-CN" w:bidi="ar-SA"/>
        </w:rPr>
        <w:t>）出现影响采购公正的违法、违规行为的；</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 w:hAnsi="方正仿宋" w:eastAsia="方正仿宋" w:cs="方正仿宋"/>
          <w:color w:val="auto"/>
          <w:kern w:val="2"/>
          <w:sz w:val="32"/>
          <w:szCs w:val="32"/>
          <w:lang w:val="en-US" w:eastAsia="zh-CN" w:bidi="ar-SA"/>
        </w:rPr>
        <w:t>（</w:t>
      </w:r>
      <w:r>
        <w:rPr>
          <w:rFonts w:hint="eastAsia" w:ascii="方正仿宋" w:hAnsi="方正仿宋" w:eastAsia="方正仿宋" w:cs="方正仿宋"/>
          <w:color w:val="auto"/>
          <w:kern w:val="2"/>
          <w:sz w:val="32"/>
          <w:szCs w:val="32"/>
          <w:lang w:val="en-US" w:eastAsia="zh-CN" w:bidi="ar-SA"/>
        </w:rPr>
        <w:t>二</w:t>
      </w:r>
      <w:r>
        <w:rPr>
          <w:rFonts w:hint="default" w:ascii="方正仿宋" w:hAnsi="方正仿宋" w:eastAsia="方正仿宋" w:cs="方正仿宋"/>
          <w:color w:val="auto"/>
          <w:kern w:val="2"/>
          <w:sz w:val="32"/>
          <w:szCs w:val="32"/>
          <w:lang w:val="en-US" w:eastAsia="zh-CN" w:bidi="ar-SA"/>
        </w:rPr>
        <w:t>）因重大变故，采购任务取消的。</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十</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、签订采购合同</w:t>
      </w:r>
    </w:p>
    <w:p>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auto"/>
          <w:sz w:val="32"/>
          <w:szCs w:val="32"/>
        </w:rPr>
      </w:pPr>
      <w:r>
        <w:rPr>
          <w:rFonts w:hint="eastAsia" w:ascii="仿宋_GB2312" w:hAnsi="Times New Roman" w:eastAsia="仿宋_GB2312" w:cs="仿宋_GB2312"/>
          <w:color w:val="auto"/>
          <w:sz w:val="32"/>
          <w:szCs w:val="32"/>
        </w:rPr>
        <w:t>成交供应商应在成交公示期满后</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个</w:t>
      </w:r>
      <w:r>
        <w:rPr>
          <w:rFonts w:hint="eastAsia" w:ascii="仿宋_GB2312" w:hAnsi="Times New Roman" w:eastAsia="仿宋_GB2312" w:cs="仿宋_GB2312"/>
          <w:color w:val="auto"/>
          <w:sz w:val="32"/>
          <w:szCs w:val="32"/>
          <w:lang w:val="en-US" w:eastAsia="zh-CN"/>
        </w:rPr>
        <w:t>日历</w:t>
      </w:r>
      <w:r>
        <w:rPr>
          <w:rFonts w:hint="eastAsia" w:ascii="仿宋_GB2312" w:hAnsi="Times New Roman" w:eastAsia="仿宋_GB2312" w:cs="仿宋_GB2312"/>
          <w:color w:val="auto"/>
          <w:sz w:val="32"/>
          <w:szCs w:val="32"/>
        </w:rPr>
        <w:t>日内与采购人签订采购合同。成交供应商无故逾期或拒绝或不按成交状态签订合同的，将取消其成交资格，并记入</w:t>
      </w:r>
      <w:r>
        <w:rPr>
          <w:rFonts w:hint="eastAsia" w:ascii="仿宋_GB2312" w:hAnsi="Times New Roman" w:eastAsia="仿宋_GB2312" w:cs="仿宋_GB2312"/>
          <w:color w:val="auto"/>
          <w:sz w:val="32"/>
          <w:szCs w:val="32"/>
          <w:lang w:val="en-US" w:eastAsia="zh-CN"/>
        </w:rPr>
        <w:t>不诚信</w:t>
      </w:r>
      <w:r>
        <w:rPr>
          <w:rFonts w:hint="eastAsia" w:ascii="仿宋_GB2312" w:hAnsi="Times New Roman" w:eastAsia="仿宋_GB2312" w:cs="仿宋_GB2312"/>
          <w:color w:val="auto"/>
          <w:sz w:val="32"/>
          <w:szCs w:val="32"/>
        </w:rPr>
        <w:t>记录。</w:t>
      </w:r>
    </w:p>
    <w:p>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rPr>
        <w:t>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、项目联系人</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auto"/>
          <w:sz w:val="32"/>
          <w:szCs w:val="32"/>
          <w:lang w:val="en-US" w:eastAsia="zh-CN"/>
        </w:rPr>
      </w:pPr>
      <w:r>
        <w:rPr>
          <w:rFonts w:hint="eastAsia" w:ascii="仿宋_GB2312" w:hAnsi="Times New Roman" w:eastAsia="仿宋_GB2312" w:cs="仿宋_GB2312"/>
          <w:color w:val="auto"/>
          <w:sz w:val="32"/>
          <w:szCs w:val="32"/>
        </w:rPr>
        <w:t>联系人：</w:t>
      </w:r>
      <w:r>
        <w:rPr>
          <w:rFonts w:hint="eastAsia" w:ascii="仿宋_GB2312" w:hAnsi="Times New Roman" w:eastAsia="仿宋_GB2312" w:cs="仿宋_GB2312"/>
          <w:color w:val="auto"/>
          <w:sz w:val="32"/>
          <w:szCs w:val="32"/>
          <w:lang w:eastAsia="zh-CN"/>
        </w:rPr>
        <w:t>技术咨询黄</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（总务科）</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rPr>
        <w:t>联系电话：</w:t>
      </w:r>
      <w:r>
        <w:rPr>
          <w:rFonts w:hint="eastAsia" w:ascii="仿宋_GB2312" w:hAnsi="Times New Roman" w:eastAsia="仿宋_GB2312" w:cs="Times New Roman"/>
          <w:color w:val="auto"/>
          <w:sz w:val="32"/>
          <w:szCs w:val="28"/>
        </w:rPr>
        <w:t>62867</w:t>
      </w:r>
      <w:r>
        <w:rPr>
          <w:rFonts w:hint="eastAsia" w:ascii="仿宋_GB2312" w:hAnsi="Times New Roman" w:eastAsia="仿宋_GB2312" w:cs="Times New Roman"/>
          <w:color w:val="auto"/>
          <w:sz w:val="32"/>
          <w:szCs w:val="28"/>
          <w:lang w:val="en-US" w:eastAsia="zh-CN"/>
        </w:rPr>
        <w:t>383</w:t>
      </w:r>
    </w:p>
    <w:p>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auto"/>
          <w:lang w:val="en-US" w:eastAsia="zh-CN"/>
        </w:rPr>
        <w:sectPr>
          <w:headerReference r:id="rId3" w:type="default"/>
          <w:pgSz w:w="11906" w:h="16838"/>
          <w:pgMar w:top="1440" w:right="1797" w:bottom="1440" w:left="1797" w:header="851" w:footer="992" w:gutter="0"/>
          <w:cols w:space="425" w:num="1"/>
          <w:docGrid w:type="linesAndChars" w:linePitch="312" w:charSpace="0"/>
        </w:sectPr>
      </w:pP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lang w:eastAsia="zh-CN"/>
        </w:rPr>
        <w:t>采购文书制作吴</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（采购办）</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rPr>
        <w:t>联系电话：</w:t>
      </w:r>
      <w:r>
        <w:rPr>
          <w:rFonts w:ascii="仿宋_GB2312" w:hAnsi="Times New Roman" w:eastAsia="仿宋_GB2312" w:cs="仿宋_GB2312"/>
          <w:color w:val="auto"/>
          <w:sz w:val="32"/>
          <w:szCs w:val="32"/>
        </w:rPr>
        <w:t>62867</w:t>
      </w:r>
      <w:r>
        <w:rPr>
          <w:rFonts w:hint="eastAsia" w:ascii="仿宋_GB2312" w:hAnsi="Times New Roman" w:eastAsia="仿宋_GB2312" w:cs="仿宋_GB2312"/>
          <w:color w:val="auto"/>
          <w:sz w:val="32"/>
          <w:szCs w:val="32"/>
          <w:lang w:val="en-US" w:eastAsia="zh-CN"/>
        </w:rPr>
        <w:t>363</w:t>
      </w:r>
    </w:p>
    <w:p>
      <w:pPr>
        <w:adjustRightInd w:val="0"/>
        <w:spacing w:line="500" w:lineRule="exact"/>
        <w:ind w:right="640"/>
        <w:jc w:val="left"/>
        <w:rPr>
          <w:rFonts w:ascii="仿宋_GB2312" w:hAnsi="Times New Roman" w:eastAsia="仿宋_GB2312" w:cs="Times New Roman"/>
          <w:color w:val="auto"/>
          <w:sz w:val="32"/>
          <w:szCs w:val="32"/>
        </w:rPr>
      </w:pPr>
      <w:r>
        <w:rPr>
          <w:rFonts w:hint="eastAsia" w:ascii="仿宋_GB2312" w:hAnsi="Times New Roman" w:eastAsia="仿宋_GB2312" w:cs="仿宋_GB2312"/>
          <w:color w:val="auto"/>
          <w:sz w:val="32"/>
          <w:szCs w:val="32"/>
          <w:lang w:eastAsia="zh-CN"/>
        </w:rPr>
        <w:t>比价</w:t>
      </w:r>
      <w:r>
        <w:rPr>
          <w:rFonts w:hint="eastAsia" w:ascii="仿宋_GB2312" w:hAnsi="Times New Roman" w:eastAsia="仿宋_GB2312" w:cs="仿宋_GB2312"/>
          <w:color w:val="auto"/>
          <w:sz w:val="32"/>
          <w:szCs w:val="32"/>
        </w:rPr>
        <w:t>文件格式</w:t>
      </w:r>
    </w:p>
    <w:p>
      <w:pPr>
        <w:spacing w:line="540" w:lineRule="exact"/>
        <w:rPr>
          <w:rFonts w:ascii="仿宋_GB2312" w:hAnsi="Times New Roman" w:eastAsia="仿宋_GB2312" w:cs="Times New Roman"/>
          <w:color w:val="auto"/>
          <w:sz w:val="32"/>
          <w:szCs w:val="32"/>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r>
        <w:rPr>
          <w:rFonts w:ascii="仿宋_GB2312" w:hAnsi="宋体" w:eastAsia="仿宋_GB2312" w:cs="仿宋_GB2312"/>
          <w:color w:val="auto"/>
          <w:kern w:val="0"/>
          <w:sz w:val="28"/>
          <w:szCs w:val="28"/>
        </w:rPr>
        <w:t>1</w:t>
      </w:r>
      <w:r>
        <w:rPr>
          <w:rFonts w:hint="eastAsia"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文件大信封封面</w:t>
      </w: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ind w:firstLine="640" w:firstLineChars="200"/>
        <w:jc w:val="center"/>
        <w:rPr>
          <w:rFonts w:ascii="仿宋_GB2312" w:hAnsi="宋体" w:eastAsia="仿宋_GB2312" w:cs="MingLiUfalt"/>
          <w:b/>
          <w:color w:val="auto"/>
          <w:kern w:val="0"/>
          <w:sz w:val="24"/>
          <w:szCs w:val="24"/>
        </w:rPr>
      </w:pPr>
      <w:r>
        <w:rPr>
          <w:rFonts w:hint="eastAsia" w:ascii="仿宋_GB2312" w:hAnsi="Times New Roman" w:eastAsia="仿宋_GB2312" w:cs="Times New Roman"/>
          <w:color w:val="auto"/>
          <w:sz w:val="32"/>
          <w:szCs w:val="28"/>
        </w:rPr>
        <w:t>不准在  年  月  日北京时间下午前启封</w:t>
      </w: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auto"/>
          <w:w w:val="99"/>
          <w:kern w:val="0"/>
          <w:sz w:val="24"/>
          <w:szCs w:val="24"/>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auto"/>
          <w:kern w:val="0"/>
          <w:sz w:val="28"/>
          <w:szCs w:val="28"/>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ascii="仿宋_GB2312" w:hAnsi="宋体" w:eastAsia="仿宋_GB2312" w:cs="仿宋_GB2312"/>
          <w:color w:val="auto"/>
          <w:kern w:val="0"/>
          <w:sz w:val="28"/>
          <w:szCs w:val="28"/>
        </w:rPr>
        <w:t>2.</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文件资质部分信封封面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资质文件部分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4"/>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4"/>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spacing w:line="312" w:lineRule="auto"/>
        <w:jc w:val="center"/>
        <w:rPr>
          <w:rFonts w:hint="eastAsia" w:ascii="宋体" w:hAnsi="宋体" w:cs="宋体"/>
          <w:b/>
          <w:color w:val="auto"/>
          <w:szCs w:val="28"/>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snapToGrid w:val="0"/>
        <w:spacing w:line="440" w:lineRule="exact"/>
        <w:ind w:firstLine="880" w:firstLineChars="200"/>
        <w:jc w:val="center"/>
        <w:rPr>
          <w:rFonts w:hint="eastAsia" w:ascii="黑体" w:hAnsi="黑体" w:eastAsia="黑体" w:cs="黑体"/>
          <w:color w:val="auto"/>
          <w:sz w:val="44"/>
          <w:szCs w:val="44"/>
          <w:lang w:eastAsia="zh-CN"/>
        </w:rPr>
      </w:pPr>
      <w:r>
        <w:rPr>
          <w:rFonts w:hint="eastAsia" w:ascii="黑体" w:hAnsi="黑体" w:eastAsia="黑体" w:cs="黑体"/>
          <w:color w:val="auto"/>
          <w:sz w:val="44"/>
          <w:szCs w:val="44"/>
          <w:lang w:eastAsia="zh-CN"/>
        </w:rPr>
        <w:t>供应商编制响应文件要求</w:t>
      </w:r>
    </w:p>
    <w:p>
      <w:pPr>
        <w:spacing w:line="312" w:lineRule="auto"/>
        <w:jc w:val="center"/>
        <w:rPr>
          <w:rFonts w:hint="eastAsia" w:ascii="宋体" w:hAnsi="宋体" w:cs="宋体"/>
          <w:b/>
          <w:color w:val="auto"/>
          <w:sz w:val="32"/>
          <w:szCs w:val="32"/>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一、供应商资格条件（</w:t>
      </w:r>
      <w:r>
        <w:rPr>
          <w:rFonts w:hint="eastAsia" w:ascii="仿宋_GB2312" w:hAnsi="Times New Roman" w:eastAsia="仿宋_GB2312" w:cs="Times New Roman"/>
          <w:color w:val="auto"/>
          <w:sz w:val="32"/>
          <w:szCs w:val="28"/>
          <w:lang w:val="en-US" w:eastAsia="zh-CN"/>
        </w:rPr>
        <w:t>提供营业执照</w:t>
      </w:r>
      <w:r>
        <w:rPr>
          <w:rFonts w:hint="eastAsia" w:ascii="黑体" w:hAnsi="黑体" w:eastAsia="黑体" w:cs="黑体"/>
          <w:color w:val="auto"/>
          <w:sz w:val="32"/>
          <w:szCs w:val="32"/>
          <w:lang w:val="en-US" w:eastAsia="zh-CN"/>
        </w:rPr>
        <w:t>）</w:t>
      </w:r>
    </w:p>
    <w:p>
      <w:pPr>
        <w:pStyle w:val="5"/>
        <w:rPr>
          <w:rFonts w:hint="default"/>
          <w:color w:val="auto"/>
          <w:lang w:val="en-US" w:eastAsia="zh-CN"/>
        </w:rPr>
      </w:pPr>
      <w:r>
        <w:rPr>
          <w:rFonts w:hint="eastAsia" w:hAnsi="Times New Roman" w:cs="Times New Roman"/>
          <w:color w:val="auto"/>
          <w:sz w:val="32"/>
          <w:szCs w:val="28"/>
          <w:lang w:val="en-US" w:eastAsia="zh-CN"/>
        </w:rPr>
        <w:t xml:space="preserve">   </w:t>
      </w:r>
    </w:p>
    <w:p>
      <w:pPr>
        <w:numPr>
          <w:ilvl w:val="0"/>
          <w:numId w:val="0"/>
        </w:numPr>
        <w:spacing w:line="312" w:lineRule="auto"/>
        <w:rPr>
          <w:rFonts w:hint="default" w:ascii="仿宋_GB2312" w:hAnsi="Times New Roman" w:eastAsia="仿宋_GB2312" w:cs="Times New Roman"/>
          <w:color w:val="auto"/>
          <w:sz w:val="32"/>
          <w:szCs w:val="28"/>
          <w:lang w:val="en-US" w:eastAsia="zh-CN"/>
        </w:rPr>
      </w:pPr>
      <w:r>
        <w:rPr>
          <w:rFonts w:hint="eastAsia" w:ascii="宋体" w:hAnsi="宋体" w:cs="宋体"/>
          <w:b/>
          <w:color w:val="auto"/>
          <w:sz w:val="24"/>
          <w:szCs w:val="24"/>
          <w:lang w:val="en-US" w:eastAsia="zh-CN"/>
        </w:rPr>
        <w:t xml:space="preserve">  </w:t>
      </w:r>
      <w:r>
        <w:rPr>
          <w:rFonts w:hint="eastAsia" w:ascii="仿宋_GB2312" w:hAnsi="Times New Roman" w:eastAsia="仿宋_GB2312" w:cs="Times New Roman"/>
          <w:color w:val="auto"/>
          <w:sz w:val="32"/>
          <w:szCs w:val="28"/>
          <w:lang w:val="en-US" w:eastAsia="zh-CN"/>
        </w:rPr>
        <w:t xml:space="preserve">  </w:t>
      </w: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pStyle w:val="5"/>
        <w:rPr>
          <w:rFonts w:hint="eastAsia"/>
          <w:color w:val="auto"/>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tabs>
          <w:tab w:val="left" w:pos="6300"/>
        </w:tabs>
        <w:snapToGrid w:val="0"/>
        <w:spacing w:line="312" w:lineRule="auto"/>
        <w:rPr>
          <w:rFonts w:hint="eastAsia" w:ascii="宋体" w:hAnsi="宋体" w:cs="宋体"/>
          <w:b/>
          <w:bCs/>
          <w:color w:val="auto"/>
          <w:sz w:val="24"/>
          <w:szCs w:val="24"/>
        </w:rPr>
      </w:pPr>
    </w:p>
    <w:p>
      <w:pPr>
        <w:snapToGrid w:val="0"/>
        <w:spacing w:line="440" w:lineRule="exact"/>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hint="eastAsia" w:ascii="黑体" w:hAnsi="黑体" w:eastAsia="黑体" w:cs="黑体"/>
          <w:color w:val="auto"/>
          <w:sz w:val="32"/>
          <w:szCs w:val="32"/>
          <w:lang w:val="en-US" w:eastAsia="zh-CN"/>
        </w:rPr>
      </w:pPr>
    </w:p>
    <w:p>
      <w:pPr>
        <w:snapToGrid w:val="0"/>
        <w:spacing w:line="440" w:lineRule="exact"/>
        <w:ind w:firstLine="640" w:firstLineChars="200"/>
        <w:rPr>
          <w:rFonts w:ascii="仿宋_GB2312" w:hAnsi="Times New Roman" w:eastAsia="仿宋_GB2312" w:cs="Times New Roman"/>
          <w:color w:val="auto"/>
          <w:sz w:val="32"/>
          <w:szCs w:val="28"/>
        </w:rPr>
      </w:pPr>
      <w:r>
        <w:rPr>
          <w:rFonts w:hint="eastAsia" w:ascii="黑体" w:hAnsi="黑体" w:eastAsia="黑体" w:cs="黑体"/>
          <w:color w:val="auto"/>
          <w:sz w:val="32"/>
          <w:szCs w:val="32"/>
          <w:lang w:val="en-US" w:eastAsia="zh-CN"/>
        </w:rPr>
        <w:t>二、法定代表人身份证明书（格式）</w:t>
      </w:r>
    </w:p>
    <w:p>
      <w:pPr>
        <w:tabs>
          <w:tab w:val="left" w:pos="6300"/>
        </w:tabs>
        <w:snapToGrid w:val="0"/>
        <w:spacing w:line="500" w:lineRule="exact"/>
        <w:ind w:firstLine="570"/>
        <w:rPr>
          <w:rFonts w:ascii="方正仿宋_GBK" w:hAnsi="宋体" w:eastAsia="方正仿宋_GBK" w:cs="Times New Roman"/>
          <w:color w:val="auto"/>
          <w:sz w:val="24"/>
          <w:szCs w:val="24"/>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采购项目名称：</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采购项目编号：</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致：（采购单位名称）：</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（法定代表人姓名）在（供应商名称）任（职务名称）职务，是（供应商名称）的法定代表人。</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特此证明。</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xml:space="preserve">                                      （供应商公章）</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r>
        <w:rPr>
          <w:rFonts w:hint="eastAsia" w:ascii="仿宋" w:hAnsi="仿宋" w:eastAsia="仿宋" w:cs="仿宋"/>
          <w:color w:val="auto"/>
          <w:sz w:val="30"/>
          <w:szCs w:val="30"/>
          <w:lang w:val="en-US" w:eastAsia="zh-CN"/>
        </w:rPr>
        <w:t xml:space="preserve">                                        年   月   日</w:t>
      </w:r>
    </w:p>
    <w:p>
      <w:pPr>
        <w:numPr>
          <w:ilvl w:val="0"/>
          <w:numId w:val="0"/>
        </w:numPr>
        <w:snapToGrid w:val="0"/>
        <w:spacing w:line="440" w:lineRule="exact"/>
        <w:ind w:firstLine="600" w:firstLineChars="200"/>
        <w:rPr>
          <w:rFonts w:hint="eastAsia" w:ascii="仿宋" w:hAnsi="仿宋" w:eastAsia="仿宋" w:cs="仿宋"/>
          <w:color w:val="auto"/>
          <w:sz w:val="30"/>
          <w:szCs w:val="30"/>
          <w:lang w:val="en-US" w:eastAsia="zh-CN"/>
        </w:rPr>
      </w:pPr>
    </w:p>
    <w:p>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0"/>
          <w:szCs w:val="30"/>
          <w:lang w:val="en-US" w:eastAsia="zh-CN"/>
        </w:rPr>
        <w:t>（附：法定代表人身份证复印件）</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三、法定代表人授权委托书（格式）</w:t>
      </w:r>
    </w:p>
    <w:p>
      <w:pPr>
        <w:tabs>
          <w:tab w:val="left" w:pos="6300"/>
        </w:tabs>
        <w:snapToGrid w:val="0"/>
        <w:spacing w:line="312" w:lineRule="auto"/>
        <w:jc w:val="center"/>
        <w:rPr>
          <w:rFonts w:ascii="宋体" w:hAnsi="宋体" w:cs="宋体"/>
          <w:color w:val="auto"/>
          <w:sz w:val="24"/>
          <w:szCs w:val="24"/>
        </w:rPr>
      </w:pPr>
    </w:p>
    <w:p>
      <w:pPr>
        <w:numPr>
          <w:ilvl w:val="0"/>
          <w:numId w:val="0"/>
        </w:numPr>
        <w:snapToGrid w:val="0"/>
        <w:spacing w:line="440" w:lineRule="exact"/>
        <w:ind w:firstLine="640" w:firstLineChars="200"/>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法定代表人授权委托书</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（采购人名称）：</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（法定代表人名称）是                    （供应商名称）的法定代表人，特授权          （被授权人姓名及身份证代码）电话          代表我单位全权办理上述项目的比价、签约等具体工作，并签署全部有关文件、协议及合同。</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我单位对被授权人的签字负全部责任。</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在撤消授权的书面通知以前，本授权书一直有效。被授权人在授权书有效期内签署的所有文件不因授权的撤消而失效。</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被授权人：                          法定代表人：</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（签字或盖章）                     （签字或盖章）</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（附：被授权人身份证正反面复印件）</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5760" w:firstLineChars="18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（供应商公章）</w:t>
      </w:r>
    </w:p>
    <w:p>
      <w:pPr>
        <w:numPr>
          <w:ilvl w:val="0"/>
          <w:numId w:val="0"/>
        </w:numPr>
        <w:snapToGrid w:val="0"/>
        <w:spacing w:line="440" w:lineRule="exact"/>
        <w:ind w:firstLine="6080" w:firstLineChars="1900"/>
        <w:rPr>
          <w:rFonts w:hint="eastAsia" w:ascii="黑体" w:hAnsi="黑体" w:eastAsia="黑体" w:cs="黑体"/>
          <w:color w:val="auto"/>
          <w:sz w:val="32"/>
          <w:szCs w:val="32"/>
          <w:lang w:val="en-US" w:eastAsia="zh-CN"/>
        </w:rPr>
      </w:pPr>
      <w:r>
        <w:rPr>
          <w:rFonts w:hint="eastAsia" w:ascii="仿宋" w:hAnsi="仿宋" w:eastAsia="仿宋" w:cs="仿宋"/>
          <w:color w:val="auto"/>
          <w:sz w:val="32"/>
          <w:szCs w:val="32"/>
          <w:lang w:val="en-US" w:eastAsia="zh-CN"/>
        </w:rPr>
        <w:t>年   月   日</w:t>
      </w:r>
      <w:r>
        <w:rPr>
          <w:rFonts w:hint="eastAsia" w:ascii="方正仿宋_GBK" w:hAnsi="宋体" w:eastAsia="方正仿宋_GBK" w:cs="宋体"/>
          <w:color w:val="auto"/>
          <w:sz w:val="32"/>
          <w:szCs w:val="32"/>
        </w:rPr>
        <w:t xml:space="preserve"> </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四、授权代表设备缴纳证明</w:t>
      </w:r>
    </w:p>
    <w:p>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0"/>
          <w:szCs w:val="30"/>
          <w:lang w:val="en-US" w:eastAsia="zh-CN"/>
        </w:rPr>
        <w:t>如授权代表参与投标的还需提供该项目授权代表近三个月缴纳社会保险参保证明。（法人参加的则不需要）</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w:t>
      </w:r>
      <w:r>
        <w:rPr>
          <w:rFonts w:hint="default" w:ascii="黑体" w:hAnsi="黑体" w:eastAsia="黑体" w:cs="黑体"/>
          <w:color w:val="auto"/>
          <w:sz w:val="32"/>
          <w:szCs w:val="32"/>
          <w:lang w:val="en-US" w:eastAsia="zh-CN"/>
        </w:rPr>
        <w:t>基本资格条件承诺函（格式）</w:t>
      </w:r>
    </w:p>
    <w:p>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pPr>
        <w:numPr>
          <w:ilvl w:val="0"/>
          <w:numId w:val="0"/>
        </w:numPr>
        <w:snapToGrid w:val="0"/>
        <w:spacing w:line="440" w:lineRule="exact"/>
        <w:ind w:firstLine="640" w:firstLineChars="200"/>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基本资格条件承诺函</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致                （采购人名称）：</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（供应商名称）郑重承诺：</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1.我方具有良好的商业信誉和健全的财务会计制度，具有履行合同所必需的设备和专业技术能力，具</w:t>
      </w:r>
      <w:r>
        <w:rPr>
          <w:rFonts w:hint="eastAsia" w:ascii="仿宋" w:hAnsi="仿宋" w:eastAsia="仿宋" w:cs="仿宋"/>
          <w:color w:val="auto"/>
          <w:sz w:val="32"/>
          <w:szCs w:val="32"/>
          <w:lang w:val="zh-CN" w:eastAsia="zh-CN"/>
        </w:rPr>
        <w:t>有依法缴纳税收和社会保障金的良好记录</w:t>
      </w:r>
      <w:r>
        <w:rPr>
          <w:rFonts w:hint="eastAsia" w:ascii="仿宋" w:hAnsi="仿宋" w:eastAsia="仿宋" w:cs="仿宋"/>
          <w:color w:val="auto"/>
          <w:sz w:val="32"/>
          <w:szCs w:val="32"/>
          <w:lang w:val="en-US" w:eastAsia="zh-CN"/>
        </w:rPr>
        <w:t>，参加本项目采购活动前三年内无重大违法活动记录。</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2.我方未列入在信用中国网站（www.creditchina.gov.cn）“失信被执行人”、“重大税收违法案件当事人名单”中，也未列入中国政府采购网（www.ccgp.gov.cn）“政府采购严重违法失信行为记录名单”中。</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3.我方在采购项目评审（评标）环节结束后，随时接受采购人检查验证，配合提供相关证明材料，证明符合《中华人民共和国政府采购法》规定的供应商基本资格条件。</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我方对以上承诺负全部法律责任。</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特此承诺。</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（供应商公章）</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2"/>
          <w:szCs w:val="32"/>
          <w:lang w:val="en-US" w:eastAsia="zh-CN"/>
        </w:rPr>
        <w:t xml:space="preserve">                                  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六、承诺函</w:t>
      </w:r>
    </w:p>
    <w:p>
      <w:pPr>
        <w:spacing w:line="500" w:lineRule="exact"/>
        <w:ind w:firstLine="640" w:firstLineChars="200"/>
        <w:jc w:val="center"/>
        <w:rPr>
          <w:rFonts w:hint="eastAsia" w:ascii="方正仿宋_GBK" w:hAnsi="宋体" w:eastAsia="方正仿宋_GBK" w:cs="宋体"/>
          <w:color w:val="auto"/>
          <w:sz w:val="32"/>
          <w:szCs w:val="32"/>
        </w:rPr>
      </w:pPr>
    </w:p>
    <w:p>
      <w:pPr>
        <w:numPr>
          <w:ilvl w:val="0"/>
          <w:numId w:val="0"/>
        </w:numPr>
        <w:snapToGrid w:val="0"/>
        <w:spacing w:line="440" w:lineRule="exact"/>
        <w:ind w:firstLine="640" w:firstLineChars="200"/>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承诺函</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（采购人名称）：</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我方经详细研究，决定参加_______________（项目名称）的比价采购。</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1.我方愿意按照比价采购文件中的一切要求，提供本项目合格服务。</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2.我方现提交的响应文件为：响应文件正副本各一份。</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3.我方承诺：本次比价采购的有效期为90天。</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4.我方完全理解和接受贵方比价采购文件的一切规定和要求及评审办法。</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5.在整个比价采购过程中，我方若有违规行为，按照国家相关法律法规，接受处罚。</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6.我方若为成交公司，将按照比价结果签订合同，并且严格履行合同义务。本承诺函将成为合同不可分割的一部分，与合同具有同等的法律效力。</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7.我方理解，最低报价不是成交的唯一条件。</w:t>
      </w: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p>
    <w:p>
      <w:pPr>
        <w:numPr>
          <w:ilvl w:val="0"/>
          <w:numId w:val="0"/>
        </w:numPr>
        <w:snapToGrid w:val="0"/>
        <w:spacing w:line="44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供应商名称（公章）：</w:t>
      </w:r>
    </w:p>
    <w:p>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仿宋" w:hAnsi="仿宋" w:eastAsia="仿宋" w:cs="仿宋"/>
          <w:color w:val="auto"/>
          <w:sz w:val="32"/>
          <w:szCs w:val="32"/>
          <w:lang w:val="en-US" w:eastAsia="zh-CN"/>
        </w:rPr>
        <w:t xml:space="preserve">                              年    月   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tabs>
          <w:tab w:val="left" w:pos="2580"/>
          <w:tab w:val="left" w:pos="5940"/>
        </w:tabs>
        <w:autoSpaceDE w:val="0"/>
        <w:autoSpaceDN w:val="0"/>
        <w:adjustRightInd w:val="0"/>
        <w:snapToGrid w:val="0"/>
        <w:spacing w:line="360" w:lineRule="auto"/>
        <w:jc w:val="left"/>
        <w:rPr>
          <w:rFonts w:hint="eastAsia" w:ascii="仿宋_GB2312" w:hAnsi="宋体" w:eastAsia="仿宋_GB2312" w:cs="仿宋_GB2312"/>
          <w:color w:val="auto"/>
          <w:kern w:val="0"/>
          <w:sz w:val="28"/>
          <w:szCs w:val="28"/>
          <w:lang w:val="en-US" w:eastAsia="zh-CN"/>
        </w:rPr>
      </w:pPr>
    </w:p>
    <w:p>
      <w:pPr>
        <w:tabs>
          <w:tab w:val="left" w:pos="2580"/>
          <w:tab w:val="left" w:pos="5940"/>
        </w:tabs>
        <w:autoSpaceDE w:val="0"/>
        <w:autoSpaceDN w:val="0"/>
        <w:adjustRightInd w:val="0"/>
        <w:snapToGrid w:val="0"/>
        <w:spacing w:line="360" w:lineRule="auto"/>
        <w:jc w:val="left"/>
        <w:rPr>
          <w:rFonts w:hint="eastAsia" w:ascii="仿宋_GB2312" w:hAnsi="宋体" w:eastAsia="仿宋_GB2312" w:cs="仿宋_GB2312"/>
          <w:color w:val="auto"/>
          <w:kern w:val="0"/>
          <w:sz w:val="28"/>
          <w:szCs w:val="28"/>
          <w:lang w:val="en-US" w:eastAsia="zh-CN"/>
        </w:rPr>
      </w:pPr>
    </w:p>
    <w:p>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3</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文件技术部分信封封面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技术文件部分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4"/>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4"/>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093" w:firstLineChars="13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六、技术部分响应情况</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（一）投标货物技术性能、技术指标介绍；</w:t>
      </w:r>
    </w:p>
    <w:p>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（二）技术需求和商务条款差异表(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三</w:t>
      </w:r>
      <w:r>
        <w:rPr>
          <w:rFonts w:hint="eastAsia" w:ascii="仿宋_GB2312" w:hAnsi="Times New Roman" w:eastAsia="仿宋_GB2312" w:cs="Times New Roman"/>
          <w:color w:val="auto"/>
          <w:sz w:val="32"/>
          <w:szCs w:val="28"/>
        </w:rPr>
        <w:t>）投标货物的</w:t>
      </w:r>
      <w:r>
        <w:rPr>
          <w:rFonts w:hint="eastAsia" w:ascii="仿宋_GB2312" w:hAnsi="Times New Roman" w:eastAsia="仿宋_GB2312" w:cs="Times New Roman"/>
          <w:color w:val="auto"/>
          <w:sz w:val="32"/>
          <w:szCs w:val="28"/>
          <w:lang w:eastAsia="zh-CN"/>
        </w:rPr>
        <w:t>质量检测</w:t>
      </w:r>
      <w:r>
        <w:rPr>
          <w:rFonts w:hint="eastAsia" w:ascii="仿宋_GB2312" w:hAnsi="Times New Roman" w:eastAsia="仿宋_GB2312" w:cs="Times New Roman"/>
          <w:color w:val="auto"/>
          <w:sz w:val="32"/>
          <w:szCs w:val="28"/>
        </w:rPr>
        <w:t>报告；</w:t>
      </w:r>
    </w:p>
    <w:p>
      <w:pPr>
        <w:tabs>
          <w:tab w:val="left" w:pos="567"/>
        </w:tabs>
        <w:adjustRightInd w:val="0"/>
        <w:spacing w:line="560" w:lineRule="exact"/>
        <w:ind w:firstLine="63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（四）</w:t>
      </w:r>
      <w:r>
        <w:rPr>
          <w:rFonts w:hint="eastAsia" w:ascii="仿宋_GB2312" w:hAnsi="Times New Roman" w:eastAsia="仿宋_GB2312" w:cs="Times New Roman"/>
          <w:color w:val="auto"/>
          <w:sz w:val="32"/>
          <w:szCs w:val="28"/>
        </w:rPr>
        <w:t>其他必要资料</w:t>
      </w:r>
    </w:p>
    <w:p>
      <w:pPr>
        <w:tabs>
          <w:tab w:val="left" w:pos="567"/>
        </w:tabs>
        <w:adjustRightInd w:val="0"/>
        <w:spacing w:line="560" w:lineRule="exact"/>
        <w:ind w:firstLine="630"/>
        <w:rPr>
          <w:rFonts w:hint="eastAsia" w:ascii="仿宋_GB2312" w:hAnsi="Times New Roman" w:eastAsia="仿宋_GB2312" w:cs="Times New Roman"/>
          <w:color w:val="auto"/>
          <w:sz w:val="32"/>
          <w:szCs w:val="28"/>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ind w:firstLine="796" w:firstLineChars="221"/>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pacing w:line="540" w:lineRule="exact"/>
        <w:rPr>
          <w:rFonts w:ascii="方正小标宋简体" w:hAnsi="方正小标宋简体" w:eastAsia="方正小标宋简体" w:cs="Times New Roman"/>
          <w:b/>
          <w:color w:val="auto"/>
          <w:kern w:val="0"/>
          <w:sz w:val="36"/>
          <w:szCs w:val="32"/>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hint="eastAsia" w:ascii="仿宋_GB2312" w:hAnsi="宋体" w:eastAsia="仿宋_GB2312" w:cs="Times New Roman"/>
          <w:color w:val="auto"/>
          <w:kern w:val="0"/>
          <w:sz w:val="28"/>
          <w:szCs w:val="28"/>
        </w:rPr>
      </w:pPr>
    </w:p>
    <w:p>
      <w:pPr>
        <w:snapToGrid w:val="0"/>
        <w:spacing w:line="520" w:lineRule="exact"/>
        <w:rPr>
          <w:rFonts w:ascii="仿宋_GB2312" w:hAnsi="Times New Roman" w:eastAsia="仿宋_GB2312" w:cs="Times New Roman"/>
          <w:color w:val="auto"/>
          <w:sz w:val="32"/>
          <w:szCs w:val="28"/>
        </w:rPr>
      </w:pPr>
      <w:r>
        <w:rPr>
          <w:rFonts w:hint="eastAsia" w:ascii="仿宋_GB2312" w:hAnsi="宋体" w:eastAsia="仿宋_GB2312" w:cs="Times New Roman"/>
          <w:color w:val="auto"/>
          <w:kern w:val="0"/>
          <w:sz w:val="28"/>
          <w:szCs w:val="28"/>
        </w:rPr>
        <w:t>技术</w:t>
      </w:r>
      <w:r>
        <w:rPr>
          <w:rFonts w:hint="eastAsia" w:ascii="仿宋_GB2312" w:hAnsi="宋体" w:eastAsia="仿宋_GB2312" w:cs="Times New Roman"/>
          <w:color w:val="auto"/>
          <w:kern w:val="0"/>
          <w:sz w:val="28"/>
          <w:szCs w:val="28"/>
          <w:lang w:eastAsia="zh-CN"/>
        </w:rPr>
        <w:t>部分响应文件</w:t>
      </w:r>
      <w:r>
        <w:rPr>
          <w:rFonts w:hint="eastAsia" w:ascii="仿宋_GB2312" w:hAnsi="宋体" w:eastAsia="仿宋_GB2312" w:cs="Times New Roman"/>
          <w:color w:val="auto"/>
          <w:kern w:val="0"/>
          <w:sz w:val="28"/>
          <w:szCs w:val="28"/>
        </w:rPr>
        <w:t>内容及格式</w:t>
      </w:r>
    </w:p>
    <w:p>
      <w:pPr>
        <w:tabs>
          <w:tab w:val="left" w:pos="567"/>
        </w:tabs>
        <w:adjustRightInd w:val="0"/>
        <w:spacing w:line="52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（一）投标货物技术性能、技术指标介绍；</w:t>
      </w:r>
    </w:p>
    <w:p>
      <w:pPr>
        <w:snapToGrid w:val="0"/>
        <w:spacing w:line="520" w:lineRule="exact"/>
        <w:ind w:firstLine="640" w:firstLineChars="200"/>
        <w:rPr>
          <w:rFonts w:hint="eastAsia" w:ascii="仿宋_GB2312" w:hAnsi="Times New Roman" w:eastAsia="仿宋_GB2312" w:cs="Times New Roman"/>
          <w:color w:val="auto"/>
          <w:sz w:val="32"/>
          <w:szCs w:val="28"/>
          <w:lang w:val="en-US" w:eastAsia="zh-CN"/>
        </w:rPr>
      </w:pPr>
    </w:p>
    <w:p>
      <w:pPr>
        <w:snapToGrid w:val="0"/>
        <w:spacing w:line="520" w:lineRule="exact"/>
        <w:ind w:firstLine="640" w:firstLineChars="200"/>
        <w:rPr>
          <w:rFonts w:ascii="仿宋_GB2312" w:hAnsi="Times New Roman" w:eastAsia="仿宋_GB2312" w:cs="Times New Roman"/>
          <w:color w:val="auto"/>
          <w:sz w:val="32"/>
          <w:szCs w:val="28"/>
        </w:rPr>
      </w:pPr>
    </w:p>
    <w:p>
      <w:pPr>
        <w:snapToGrid w:val="0"/>
        <w:spacing w:line="520" w:lineRule="exact"/>
        <w:ind w:firstLine="640" w:firstLineChars="20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（二）技术需求和商务条款差异表(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spacing w:line="540" w:lineRule="exact"/>
        <w:ind w:firstLine="3200" w:firstLineChars="10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lang w:eastAsia="zh-CN"/>
        </w:rPr>
        <w:t>要求响应差异表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服务要求</w:t>
      </w:r>
      <w:r>
        <w:rPr>
          <w:rFonts w:hint="eastAsia" w:ascii="方正仿宋_GBK" w:hAnsi="方正仿宋_GBK" w:eastAsia="方正仿宋_GBK" w:cs="方正仿宋_GBK"/>
          <w:bCs/>
          <w:color w:val="auto"/>
          <w:sz w:val="24"/>
          <w:szCs w:val="24"/>
        </w:rPr>
        <w:t>低于招标文件要求的在“差异原因”处填写负偏离。</w:t>
      </w:r>
    </w:p>
    <w:p>
      <w:pPr>
        <w:numPr>
          <w:ilvl w:val="0"/>
          <w:numId w:val="0"/>
        </w:numPr>
        <w:snapToGrid w:val="0"/>
        <w:spacing w:line="440" w:lineRule="exact"/>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Cs/>
          <w:color w:val="auto"/>
          <w:sz w:val="24"/>
          <w:szCs w:val="24"/>
        </w:rPr>
        <w:t>4、该表可扩展；</w:t>
      </w: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pPr>
        <w:numPr>
          <w:ilvl w:val="0"/>
          <w:numId w:val="0"/>
        </w:numPr>
        <w:snapToGrid w:val="0"/>
        <w:spacing w:line="440" w:lineRule="exact"/>
        <w:rPr>
          <w:rFonts w:hint="eastAsia" w:ascii="黑体" w:hAnsi="黑体" w:eastAsia="黑体" w:cs="黑体"/>
          <w:color w:val="auto"/>
          <w:sz w:val="32"/>
          <w:szCs w:val="32"/>
          <w:lang w:val="en-US" w:eastAsia="zh-CN"/>
        </w:rPr>
      </w:pPr>
    </w:p>
    <w:p>
      <w:pPr>
        <w:spacing w:line="540" w:lineRule="exact"/>
        <w:ind w:firstLine="2880" w:firstLineChars="9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商务条款响应差异表</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低于招标文件要求的在“差异原因”处填写负偏离。</w:t>
      </w:r>
    </w:p>
    <w:p>
      <w:pPr>
        <w:tabs>
          <w:tab w:val="left" w:pos="567"/>
        </w:tabs>
        <w:adjustRightInd w:val="0"/>
        <w:spacing w:line="520" w:lineRule="exact"/>
        <w:rPr>
          <w:rFonts w:hint="eastAsia" w:ascii="仿宋_GB2312" w:hAnsi="Times New Roman" w:eastAsia="仿宋_GB2312" w:cs="Times New Roman"/>
          <w:color w:val="auto"/>
          <w:sz w:val="32"/>
          <w:szCs w:val="28"/>
        </w:rPr>
      </w:pPr>
      <w:r>
        <w:rPr>
          <w:rFonts w:hint="eastAsia" w:ascii="方正仿宋_GBK" w:hAnsi="方正仿宋_GBK" w:eastAsia="方正仿宋_GBK" w:cs="方正仿宋_GBK"/>
          <w:bCs/>
          <w:color w:val="auto"/>
          <w:sz w:val="24"/>
          <w:szCs w:val="24"/>
        </w:rPr>
        <w:t>4、该表可扩展；</w:t>
      </w:r>
    </w:p>
    <w:p>
      <w:pPr>
        <w:tabs>
          <w:tab w:val="left" w:pos="567"/>
        </w:tabs>
        <w:adjustRightInd w:val="0"/>
        <w:spacing w:line="520" w:lineRule="exact"/>
        <w:ind w:firstLine="630"/>
        <w:rPr>
          <w:rFonts w:hint="eastAsia" w:ascii="仿宋_GB2312" w:hAnsi="Times New Roman" w:eastAsia="仿宋_GB2312" w:cs="Times New Roman"/>
          <w:color w:val="auto"/>
          <w:sz w:val="32"/>
          <w:szCs w:val="28"/>
        </w:rPr>
      </w:pPr>
    </w:p>
    <w:p>
      <w:pPr>
        <w:tabs>
          <w:tab w:val="left" w:pos="567"/>
        </w:tabs>
        <w:adjustRightInd w:val="0"/>
        <w:spacing w:line="520" w:lineRule="exact"/>
        <w:ind w:firstLine="630"/>
        <w:rPr>
          <w:rFonts w:ascii="仿宋_GB2312" w:hAnsi="Times New Roman" w:eastAsia="仿宋_GB2312" w:cs="Times New Roman"/>
          <w:color w:val="auto"/>
          <w:sz w:val="32"/>
          <w:szCs w:val="28"/>
        </w:rPr>
      </w:pPr>
    </w:p>
    <w:p>
      <w:pPr>
        <w:spacing w:line="540" w:lineRule="exact"/>
        <w:ind w:firstLine="2880" w:firstLineChars="900"/>
        <w:rPr>
          <w:rFonts w:hint="eastAsia" w:ascii="仿宋_GB2312" w:hAnsi="Times New Roman" w:eastAsia="仿宋_GB2312" w:cs="Times New Roman"/>
          <w:color w:val="auto"/>
          <w:sz w:val="32"/>
          <w:szCs w:val="28"/>
          <w:lang w:eastAsia="zh-CN"/>
        </w:rPr>
      </w:pPr>
    </w:p>
    <w:p>
      <w:pPr>
        <w:pStyle w:val="4"/>
        <w:ind w:firstLine="640" w:firstLineChars="200"/>
        <w:rPr>
          <w:rFonts w:hint="eastAsia" w:ascii="仿宋_GB2312" w:hAnsi="Times New Roman" w:eastAsia="仿宋_GB2312" w:cs="Times New Roman"/>
          <w:color w:val="auto"/>
          <w:kern w:val="2"/>
          <w:sz w:val="32"/>
          <w:szCs w:val="28"/>
          <w:lang w:val="en-US" w:eastAsia="zh-CN" w:bidi="ar-SA"/>
        </w:rPr>
      </w:pPr>
      <w:r>
        <w:rPr>
          <w:rFonts w:hint="eastAsia" w:ascii="仿宋_GB2312" w:hAnsi="Times New Roman" w:eastAsia="仿宋_GB2312" w:cs="Times New Roman"/>
          <w:color w:val="auto"/>
          <w:kern w:val="2"/>
          <w:sz w:val="32"/>
          <w:szCs w:val="28"/>
          <w:lang w:val="en-US" w:eastAsia="zh-CN" w:bidi="ar-SA"/>
        </w:rPr>
        <w:t>（三）投标货物的质量检测报告；</w:t>
      </w:r>
    </w:p>
    <w:p>
      <w:pPr>
        <w:snapToGrid w:val="0"/>
        <w:spacing w:line="520" w:lineRule="exact"/>
        <w:rPr>
          <w:rFonts w:hint="eastAsia" w:ascii="仿宋_GB2312" w:hAnsi="Times New Roman" w:eastAsia="仿宋_GB2312" w:cs="Times New Roman"/>
          <w:color w:val="auto"/>
          <w:kern w:val="2"/>
          <w:sz w:val="32"/>
          <w:szCs w:val="28"/>
          <w:lang w:val="en-US" w:eastAsia="zh-CN" w:bidi="ar-SA"/>
        </w:rPr>
      </w:pPr>
    </w:p>
    <w:p>
      <w:pPr>
        <w:pStyle w:val="4"/>
        <w:rPr>
          <w:rFonts w:hint="eastAsia" w:ascii="仿宋_GB2312" w:hAnsi="Times New Roman" w:eastAsia="仿宋_GB2312" w:cs="Times New Roman"/>
          <w:color w:val="auto"/>
          <w:kern w:val="2"/>
          <w:sz w:val="32"/>
          <w:szCs w:val="28"/>
          <w:lang w:val="en-US" w:eastAsia="zh-CN" w:bidi="ar-SA"/>
        </w:rPr>
      </w:pPr>
    </w:p>
    <w:p>
      <w:pPr>
        <w:rPr>
          <w:rFonts w:hint="eastAsia" w:ascii="仿宋_GB2312" w:hAnsi="Times New Roman" w:eastAsia="仿宋_GB2312" w:cs="Times New Roman"/>
          <w:color w:val="auto"/>
          <w:kern w:val="2"/>
          <w:sz w:val="32"/>
          <w:szCs w:val="28"/>
          <w:lang w:val="en-US" w:eastAsia="zh-CN" w:bidi="ar-SA"/>
        </w:rPr>
      </w:pPr>
    </w:p>
    <w:p>
      <w:pPr>
        <w:spacing w:line="540" w:lineRule="exact"/>
        <w:ind w:firstLine="640" w:firstLineChars="200"/>
        <w:rPr>
          <w:rFonts w:hint="eastAsia" w:ascii="方正小标宋简体" w:hAnsi="方正小标宋简体" w:eastAsia="方正小标宋简体" w:cs="Times New Roman"/>
          <w:b/>
          <w:color w:val="auto"/>
          <w:kern w:val="0"/>
          <w:sz w:val="36"/>
          <w:szCs w:val="32"/>
          <w:lang w:eastAsia="zh-CN"/>
        </w:rPr>
      </w:pPr>
      <w:r>
        <w:rPr>
          <w:rFonts w:hint="eastAsia" w:ascii="仿宋_GB2312" w:hAnsi="Times New Roman" w:eastAsia="仿宋_GB2312" w:cs="Times New Roman"/>
          <w:color w:val="auto"/>
          <w:kern w:val="2"/>
          <w:sz w:val="32"/>
          <w:szCs w:val="28"/>
          <w:lang w:val="en-US" w:eastAsia="zh-CN" w:bidi="ar-SA"/>
        </w:rPr>
        <w:t>（四）</w:t>
      </w:r>
      <w:r>
        <w:rPr>
          <w:rFonts w:hint="eastAsia" w:ascii="仿宋_GB2312" w:hAnsi="Times New Roman" w:eastAsia="仿宋_GB2312" w:cs="Times New Roman"/>
          <w:color w:val="auto"/>
          <w:sz w:val="32"/>
          <w:szCs w:val="28"/>
        </w:rPr>
        <w:t>其他必要资料</w:t>
      </w: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hint="eastAsia" w:ascii="仿宋_GB2312" w:hAnsi="宋体" w:eastAsia="仿宋_GB2312" w:cs="仿宋_GB2312"/>
          <w:color w:val="auto"/>
          <w:kern w:val="0"/>
          <w:sz w:val="28"/>
          <w:szCs w:val="28"/>
          <w:lang w:val="en-US" w:eastAsia="zh-CN"/>
        </w:rPr>
      </w:pPr>
    </w:p>
    <w:p>
      <w:pPr>
        <w:snapToGrid w:val="0"/>
        <w:spacing w:line="520" w:lineRule="exac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4</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文件报价部分信封封面</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选</w:t>
      </w:r>
      <w:r>
        <w:rPr>
          <w:rFonts w:hint="eastAsia" w:ascii="方正小标宋_GBK" w:hAnsi="Times New Roman" w:eastAsia="方正小标宋_GBK" w:cs="方正小标宋_GBK"/>
          <w:b/>
          <w:bCs/>
          <w:color w:val="auto"/>
          <w:kern w:val="0"/>
          <w:sz w:val="44"/>
          <w:szCs w:val="44"/>
        </w:rPr>
        <w:t>　文　件</w:t>
      </w:r>
    </w:p>
    <w:p>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报价文件部分</w:t>
      </w:r>
    </w:p>
    <w:p>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4"/>
        <w:rPr>
          <w:rFonts w:ascii="仿宋_GB2312" w:hAnsi="宋体" w:eastAsia="仿宋_GB2312" w:cs="Times New Roman"/>
          <w:b/>
          <w:bCs/>
          <w:color w:val="auto"/>
          <w:kern w:val="0"/>
          <w:sz w:val="24"/>
          <w:szCs w:val="24"/>
        </w:rPr>
      </w:pPr>
    </w:p>
    <w:p>
      <w:pPr>
        <w:rPr>
          <w:rFonts w:ascii="仿宋_GB2312" w:hAnsi="宋体" w:eastAsia="仿宋_GB2312" w:cs="Times New Roman"/>
          <w:b/>
          <w:bCs/>
          <w:color w:val="auto"/>
          <w:kern w:val="0"/>
          <w:sz w:val="24"/>
          <w:szCs w:val="24"/>
        </w:rPr>
      </w:pPr>
    </w:p>
    <w:p>
      <w:pPr>
        <w:pStyle w:val="4"/>
        <w:rPr>
          <w:rFonts w:ascii="仿宋_GB2312" w:hAnsi="宋体" w:eastAsia="仿宋_GB2312" w:cs="Times New Roman"/>
          <w:b/>
          <w:bCs/>
          <w:color w:val="auto"/>
          <w:kern w:val="0"/>
          <w:sz w:val="24"/>
          <w:szCs w:val="24"/>
        </w:rPr>
      </w:pPr>
    </w:p>
    <w:p>
      <w:pPr>
        <w:pStyle w:val="4"/>
        <w:jc w:val="both"/>
        <w:rPr>
          <w:color w:val="auto"/>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pStyle w:val="7"/>
        <w:rPr>
          <w:rFonts w:ascii="仿宋_GB2312" w:hAnsi="宋体" w:eastAsia="仿宋_GB2312" w:cs="Times New Roman"/>
          <w:b/>
          <w:bCs/>
          <w:color w:val="auto"/>
          <w:kern w:val="0"/>
          <w:sz w:val="24"/>
          <w:szCs w:val="24"/>
        </w:rPr>
      </w:pPr>
    </w:p>
    <w:p>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pPr>
        <w:numPr>
          <w:ilvl w:val="0"/>
          <w:numId w:val="0"/>
        </w:numPr>
        <w:snapToGrid w:val="0"/>
        <w:spacing w:line="440" w:lineRule="exact"/>
        <w:ind w:firstLine="3331" w:firstLineChars="14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pPr>
        <w:numPr>
          <w:ilvl w:val="0"/>
          <w:numId w:val="0"/>
        </w:numPr>
        <w:snapToGrid w:val="0"/>
        <w:spacing w:line="440" w:lineRule="exact"/>
        <w:ind w:firstLine="640" w:firstLineChars="200"/>
        <w:rPr>
          <w:rFonts w:hint="eastAsia" w:ascii="方正仿宋_GBK" w:hAnsi="宋体" w:eastAsia="方正仿宋_GBK" w:cs="宋体"/>
          <w:color w:val="auto"/>
          <w:sz w:val="32"/>
          <w:szCs w:val="32"/>
        </w:rPr>
      </w:pPr>
      <w:r>
        <w:rPr>
          <w:rFonts w:hint="eastAsia" w:ascii="黑体" w:hAnsi="黑体" w:eastAsia="黑体" w:cs="黑体"/>
          <w:color w:val="auto"/>
          <w:sz w:val="32"/>
          <w:szCs w:val="32"/>
          <w:lang w:val="en-US" w:eastAsia="zh-CN"/>
        </w:rPr>
        <w:t>七、项目报价</w:t>
      </w:r>
    </w:p>
    <w:p>
      <w:pPr>
        <w:spacing w:line="540" w:lineRule="exact"/>
        <w:rPr>
          <w:rFonts w:hint="eastAsia" w:ascii="方正仿宋_GBK" w:hAnsi="宋体" w:eastAsia="方正仿宋_GBK" w:cs="宋体"/>
          <w:color w:val="auto"/>
          <w:sz w:val="32"/>
          <w:szCs w:val="32"/>
          <w:lang w:val="en-US" w:eastAsia="zh-CN"/>
        </w:rPr>
      </w:pPr>
    </w:p>
    <w:p>
      <w:pPr>
        <w:spacing w:line="540" w:lineRule="exact"/>
        <w:rPr>
          <w:rFonts w:hint="eastAsia" w:ascii="方正仿宋_GBK" w:hAnsi="宋体" w:eastAsia="方正仿宋_GBK" w:cs="宋体"/>
          <w:color w:val="auto"/>
          <w:sz w:val="32"/>
          <w:szCs w:val="32"/>
          <w:lang w:val="en-US" w:eastAsia="zh-CN"/>
        </w:rPr>
      </w:pPr>
    </w:p>
    <w:p>
      <w:pPr>
        <w:spacing w:line="540" w:lineRule="exact"/>
        <w:rPr>
          <w:rFonts w:hint="eastAsia" w:ascii="方正仿宋_GBK" w:hAnsi="宋体" w:eastAsia="方正仿宋_GBK" w:cs="宋体"/>
          <w:color w:val="auto"/>
          <w:sz w:val="32"/>
          <w:szCs w:val="32"/>
          <w:lang w:val="en-US" w:eastAsia="zh-CN"/>
        </w:rPr>
      </w:pPr>
    </w:p>
    <w:p>
      <w:pPr>
        <w:spacing w:line="540" w:lineRule="exact"/>
        <w:rPr>
          <w:rFonts w:hint="eastAsia" w:ascii="方正仿宋_GBK" w:hAnsi="宋体" w:eastAsia="方正仿宋_GBK" w:cs="宋体"/>
          <w:color w:val="auto"/>
          <w:sz w:val="32"/>
          <w:szCs w:val="32"/>
          <w:lang w:val="en-US" w:eastAsia="zh-CN"/>
        </w:rPr>
      </w:pPr>
    </w:p>
    <w:p>
      <w:pPr>
        <w:spacing w:line="540" w:lineRule="exact"/>
        <w:rPr>
          <w:rFonts w:ascii="仿宋_GB2312" w:hAnsi="Times New Roman" w:eastAsia="仿宋_GB2312" w:cs="Times New Roman"/>
          <w:color w:val="auto"/>
          <w:spacing w:val="20"/>
          <w:kern w:val="0"/>
          <w:sz w:val="32"/>
          <w:szCs w:val="32"/>
        </w:rPr>
      </w:pPr>
      <w:r>
        <w:rPr>
          <w:rFonts w:hint="eastAsia" w:ascii="方正仿宋_GBK" w:hAnsi="宋体" w:eastAsia="方正仿宋_GBK" w:cs="宋体"/>
          <w:color w:val="auto"/>
          <w:sz w:val="32"/>
          <w:szCs w:val="32"/>
          <w:lang w:val="en-US" w:eastAsia="zh-CN"/>
        </w:rPr>
        <w:t>统一折扣率：</w:t>
      </w:r>
      <w:r>
        <w:rPr>
          <w:rFonts w:hint="eastAsia" w:ascii="方正仿宋_GBK" w:hAnsi="宋体" w:eastAsia="方正仿宋_GBK" w:cs="宋体"/>
          <w:color w:val="auto"/>
          <w:sz w:val="32"/>
          <w:szCs w:val="32"/>
          <w:u w:val="single"/>
          <w:lang w:val="en-US" w:eastAsia="zh-CN"/>
        </w:rPr>
        <w:t xml:space="preserve">          </w:t>
      </w:r>
      <w:r>
        <w:rPr>
          <w:rFonts w:hint="eastAsia" w:ascii="方正仿宋_GBK" w:hAnsi="宋体" w:eastAsia="方正仿宋_GBK" w:cs="宋体"/>
          <w:color w:val="auto"/>
          <w:sz w:val="32"/>
          <w:szCs w:val="32"/>
          <w:u w:val="none"/>
          <w:lang w:val="en-US" w:eastAsia="zh-CN"/>
        </w:rPr>
        <w:t>（备注：不得不高于100%）</w:t>
      </w:r>
    </w:p>
    <w:p>
      <w:pPr>
        <w:spacing w:line="540" w:lineRule="exact"/>
        <w:rPr>
          <w:rFonts w:ascii="仿宋_GB2312" w:hAnsi="Times New Roman" w:eastAsia="仿宋_GB2312" w:cs="Times New Roman"/>
          <w:color w:val="auto"/>
          <w:spacing w:val="20"/>
          <w:kern w:val="0"/>
          <w:sz w:val="32"/>
          <w:szCs w:val="32"/>
        </w:rPr>
      </w:pPr>
    </w:p>
    <w:tbl>
      <w:tblPr>
        <w:tblStyle w:val="13"/>
        <w:tblW w:w="939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6"/>
        <w:gridCol w:w="1701"/>
        <w:gridCol w:w="1929"/>
        <w:gridCol w:w="681"/>
        <w:gridCol w:w="2214"/>
        <w:gridCol w:w="1041"/>
        <w:gridCol w:w="10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0"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名称</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限价（元）</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统一折扣率</w:t>
            </w:r>
          </w:p>
        </w:tc>
        <w:tc>
          <w:tcPr>
            <w:tcW w:w="10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折扣价（元）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腕带（成人）</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≥268*35mm</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0.8</w:t>
            </w:r>
            <w:r>
              <w:rPr>
                <w:rFonts w:hint="eastAsia" w:ascii="宋体" w:hAnsi="宋体" w:cs="宋体"/>
                <w:i w:val="0"/>
                <w:iCs w:val="0"/>
                <w:color w:val="000000"/>
                <w:kern w:val="0"/>
                <w:sz w:val="22"/>
                <w:szCs w:val="22"/>
                <w:u w:val="none"/>
                <w:lang w:val="en-US" w:eastAsia="zh-CN" w:bidi="ar"/>
              </w:rPr>
              <w:t>5</w:t>
            </w:r>
          </w:p>
        </w:tc>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eastAsia="zh-CN"/>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腕带（新生儿）</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≥170*18mm</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0.4</w:t>
            </w:r>
            <w:r>
              <w:rPr>
                <w:rFonts w:hint="eastAsia" w:ascii="宋体" w:hAnsi="宋体" w:cs="宋体"/>
                <w:i w:val="0"/>
                <w:iCs w:val="0"/>
                <w:color w:val="000000"/>
                <w:kern w:val="0"/>
                <w:sz w:val="22"/>
                <w:szCs w:val="22"/>
                <w:u w:val="none"/>
                <w:lang w:val="en-US" w:eastAsia="zh-CN" w:bidi="ar"/>
              </w:rPr>
              <w:t>5</w:t>
            </w: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701"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腕带卡口</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≥30*15mm 　 100个/包</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0.07</w:t>
            </w: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护理卡片</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≥33*48mm</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w:t>
            </w:r>
            <w:r>
              <w:rPr>
                <w:rFonts w:hint="eastAsia" w:ascii="宋体" w:hAnsi="宋体" w:cs="宋体"/>
                <w:i w:val="0"/>
                <w:iCs w:val="0"/>
                <w:color w:val="000000"/>
                <w:kern w:val="0"/>
                <w:sz w:val="22"/>
                <w:szCs w:val="22"/>
                <w:u w:val="none"/>
                <w:lang w:val="en-US" w:eastAsia="zh-CN" w:bidi="ar"/>
              </w:rPr>
              <w:t>3</w:t>
            </w: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胸  卡</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≥68*100mm</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0.35</w:t>
            </w: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标  识</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≥80*14mm</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卷</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7.00</w:t>
            </w: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床头刷</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塑料、无纺布、涤棉</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把</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5.00</w:t>
            </w: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6" w:hRule="atLeast"/>
        </w:trPr>
        <w:tc>
          <w:tcPr>
            <w:tcW w:w="7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7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床头套（湿床套）</w:t>
            </w:r>
          </w:p>
        </w:tc>
        <w:tc>
          <w:tcPr>
            <w:tcW w:w="1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≥10*25mm    50个/包</w:t>
            </w:r>
          </w:p>
        </w:tc>
        <w:tc>
          <w:tcPr>
            <w:tcW w:w="6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2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0.</w:t>
            </w:r>
            <w:r>
              <w:rPr>
                <w:rFonts w:hint="eastAsia" w:ascii="宋体" w:hAnsi="宋体" w:cs="宋体"/>
                <w:i w:val="0"/>
                <w:iCs w:val="0"/>
                <w:color w:val="000000"/>
                <w:kern w:val="0"/>
                <w:sz w:val="22"/>
                <w:szCs w:val="22"/>
                <w:u w:val="none"/>
                <w:lang w:val="en-US" w:eastAsia="zh-CN" w:bidi="ar"/>
              </w:rPr>
              <w:t>20</w:t>
            </w:r>
          </w:p>
        </w:tc>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
          <w:bCs/>
          <w:sz w:val="32"/>
          <w:szCs w:val="32"/>
          <w:lang w:val="en-US" w:eastAsia="zh-CN"/>
        </w:rPr>
      </w:pPr>
    </w:p>
    <w:p>
      <w:pPr>
        <w:rPr>
          <w:rFonts w:hint="eastAsia"/>
          <w:color w:val="auto"/>
          <w:lang w:eastAsia="zh-CN"/>
        </w:rPr>
      </w:pPr>
    </w:p>
    <w:p>
      <w:pPr>
        <w:pStyle w:val="5"/>
        <w:rPr>
          <w:rFonts w:ascii="仿宋_GB2312" w:hAnsi="Times New Roman" w:eastAsia="仿宋_GB2312" w:cs="Times New Roman"/>
          <w:color w:val="auto"/>
          <w:spacing w:val="20"/>
          <w:kern w:val="0"/>
          <w:sz w:val="32"/>
          <w:szCs w:val="32"/>
        </w:rPr>
      </w:pPr>
    </w:p>
    <w:p>
      <w:pPr>
        <w:numPr>
          <w:ilvl w:val="0"/>
          <w:numId w:val="0"/>
        </w:numPr>
        <w:spacing w:line="500" w:lineRule="exact"/>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注：本表</w:t>
      </w:r>
      <w:r>
        <w:rPr>
          <w:rFonts w:hint="eastAsia" w:ascii="方正仿宋_GBK" w:hAnsi="宋体" w:eastAsia="方正仿宋_GBK" w:cs="宋体"/>
          <w:color w:val="auto"/>
          <w:sz w:val="32"/>
          <w:szCs w:val="32"/>
          <w:lang w:eastAsia="zh-CN"/>
        </w:rPr>
        <w:t>须</w:t>
      </w:r>
      <w:r>
        <w:rPr>
          <w:rFonts w:hint="eastAsia" w:ascii="方正仿宋_GBK" w:hAnsi="宋体" w:eastAsia="方正仿宋_GBK" w:cs="宋体"/>
          <w:color w:val="auto"/>
          <w:sz w:val="32"/>
          <w:szCs w:val="32"/>
        </w:rPr>
        <w:t>逐页盖章。</w:t>
      </w:r>
    </w:p>
    <w:p>
      <w:pPr>
        <w:rPr>
          <w:color w:val="auto"/>
        </w:rPr>
      </w:pPr>
    </w:p>
    <w:p>
      <w:pPr>
        <w:pStyle w:val="5"/>
        <w:rPr>
          <w:color w:val="auto"/>
        </w:rPr>
      </w:pPr>
    </w:p>
    <w:p>
      <w:pPr>
        <w:numPr>
          <w:ilvl w:val="0"/>
          <w:numId w:val="0"/>
        </w:numPr>
        <w:spacing w:line="500" w:lineRule="exact"/>
        <w:ind w:left="5110" w:leftChars="1976" w:hanging="960" w:hangingChars="300"/>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供应商名称（公章）：</w:t>
      </w:r>
    </w:p>
    <w:p>
      <w:pPr>
        <w:rPr>
          <w:color w:val="auto"/>
        </w:rPr>
      </w:pPr>
      <w:r>
        <w:rPr>
          <w:rFonts w:hint="eastAsia" w:ascii="方正仿宋_GBK" w:hAnsi="宋体" w:eastAsia="方正仿宋_GBK" w:cs="宋体"/>
          <w:color w:val="auto"/>
          <w:sz w:val="32"/>
          <w:szCs w:val="32"/>
          <w:lang w:val="en-US" w:eastAsia="zh-CN"/>
        </w:rPr>
        <w:t xml:space="preserve">                            年    月   日</w:t>
      </w: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方正仿宋">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ind w:firstLine="2700" w:firstLineChars="1500"/>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501EE6"/>
    <w:rsid w:val="00592A4D"/>
    <w:rsid w:val="00847B94"/>
    <w:rsid w:val="00A178AA"/>
    <w:rsid w:val="00B55593"/>
    <w:rsid w:val="00C61971"/>
    <w:rsid w:val="00FF2082"/>
    <w:rsid w:val="015B78EE"/>
    <w:rsid w:val="017D4A75"/>
    <w:rsid w:val="01A75F85"/>
    <w:rsid w:val="021B4DD6"/>
    <w:rsid w:val="02373CC4"/>
    <w:rsid w:val="02582C06"/>
    <w:rsid w:val="026001FD"/>
    <w:rsid w:val="02EF14EF"/>
    <w:rsid w:val="03043F03"/>
    <w:rsid w:val="035537A6"/>
    <w:rsid w:val="0370288D"/>
    <w:rsid w:val="042B4089"/>
    <w:rsid w:val="04842BB6"/>
    <w:rsid w:val="048B7202"/>
    <w:rsid w:val="04C57F01"/>
    <w:rsid w:val="053111F0"/>
    <w:rsid w:val="05CB600D"/>
    <w:rsid w:val="06A31C32"/>
    <w:rsid w:val="06B61F38"/>
    <w:rsid w:val="06D6522D"/>
    <w:rsid w:val="07402EA4"/>
    <w:rsid w:val="07467A83"/>
    <w:rsid w:val="078C3770"/>
    <w:rsid w:val="07EF202F"/>
    <w:rsid w:val="084D360D"/>
    <w:rsid w:val="088223A9"/>
    <w:rsid w:val="08986A98"/>
    <w:rsid w:val="08A75C6F"/>
    <w:rsid w:val="09365590"/>
    <w:rsid w:val="0949650D"/>
    <w:rsid w:val="09953C17"/>
    <w:rsid w:val="099E023E"/>
    <w:rsid w:val="09A034A4"/>
    <w:rsid w:val="09B238D6"/>
    <w:rsid w:val="09C821BF"/>
    <w:rsid w:val="09DB7AF0"/>
    <w:rsid w:val="09EB53A5"/>
    <w:rsid w:val="0A7A2C6E"/>
    <w:rsid w:val="0A962B96"/>
    <w:rsid w:val="0AB45C5E"/>
    <w:rsid w:val="0B032D72"/>
    <w:rsid w:val="0B4B5097"/>
    <w:rsid w:val="0B6825B7"/>
    <w:rsid w:val="0B6D7671"/>
    <w:rsid w:val="0B9B1B1F"/>
    <w:rsid w:val="0BC5500F"/>
    <w:rsid w:val="0C467FF4"/>
    <w:rsid w:val="0C4E039D"/>
    <w:rsid w:val="0D3A117D"/>
    <w:rsid w:val="0D3B1C3A"/>
    <w:rsid w:val="0D4D4D38"/>
    <w:rsid w:val="0D5841BD"/>
    <w:rsid w:val="0D841C9B"/>
    <w:rsid w:val="0E016F15"/>
    <w:rsid w:val="0EF9760E"/>
    <w:rsid w:val="0FC10169"/>
    <w:rsid w:val="0FC7598C"/>
    <w:rsid w:val="10F12089"/>
    <w:rsid w:val="113F1598"/>
    <w:rsid w:val="1186571D"/>
    <w:rsid w:val="11F049C1"/>
    <w:rsid w:val="11F071D0"/>
    <w:rsid w:val="124E53AE"/>
    <w:rsid w:val="12C34547"/>
    <w:rsid w:val="130576A8"/>
    <w:rsid w:val="13A86C29"/>
    <w:rsid w:val="13B1150F"/>
    <w:rsid w:val="13CB3D0F"/>
    <w:rsid w:val="13F92C1A"/>
    <w:rsid w:val="140263D0"/>
    <w:rsid w:val="14355834"/>
    <w:rsid w:val="14514C8D"/>
    <w:rsid w:val="15A144E9"/>
    <w:rsid w:val="162837A2"/>
    <w:rsid w:val="16830C30"/>
    <w:rsid w:val="16BB34D0"/>
    <w:rsid w:val="16C162CB"/>
    <w:rsid w:val="16E3365C"/>
    <w:rsid w:val="17302703"/>
    <w:rsid w:val="176000E3"/>
    <w:rsid w:val="1775200F"/>
    <w:rsid w:val="17A70214"/>
    <w:rsid w:val="17AD2CF8"/>
    <w:rsid w:val="183E3DA7"/>
    <w:rsid w:val="18D53262"/>
    <w:rsid w:val="18D75BCD"/>
    <w:rsid w:val="18DF0D30"/>
    <w:rsid w:val="18E4289C"/>
    <w:rsid w:val="18E66DF6"/>
    <w:rsid w:val="18F17989"/>
    <w:rsid w:val="1931728F"/>
    <w:rsid w:val="197E522C"/>
    <w:rsid w:val="1A515BCF"/>
    <w:rsid w:val="1A5F47FD"/>
    <w:rsid w:val="1AA43AE0"/>
    <w:rsid w:val="1B1B69AA"/>
    <w:rsid w:val="1B642113"/>
    <w:rsid w:val="1B794DC9"/>
    <w:rsid w:val="1BF75894"/>
    <w:rsid w:val="1C8804E6"/>
    <w:rsid w:val="1CA363E6"/>
    <w:rsid w:val="1CC546FF"/>
    <w:rsid w:val="1CED2106"/>
    <w:rsid w:val="1D037076"/>
    <w:rsid w:val="1D517C29"/>
    <w:rsid w:val="1D616197"/>
    <w:rsid w:val="1D9C7E02"/>
    <w:rsid w:val="1DC5517E"/>
    <w:rsid w:val="1DE43BC8"/>
    <w:rsid w:val="1E7B6617"/>
    <w:rsid w:val="1E8E46FB"/>
    <w:rsid w:val="1E9860B9"/>
    <w:rsid w:val="1F2C0897"/>
    <w:rsid w:val="1F734307"/>
    <w:rsid w:val="1FF01EAC"/>
    <w:rsid w:val="20485C4C"/>
    <w:rsid w:val="20504DD1"/>
    <w:rsid w:val="20CD21F4"/>
    <w:rsid w:val="212115A2"/>
    <w:rsid w:val="218F0BC2"/>
    <w:rsid w:val="21C960F6"/>
    <w:rsid w:val="238C0A9C"/>
    <w:rsid w:val="23E67F16"/>
    <w:rsid w:val="242F672E"/>
    <w:rsid w:val="24663B91"/>
    <w:rsid w:val="2492258F"/>
    <w:rsid w:val="25506927"/>
    <w:rsid w:val="264C5C76"/>
    <w:rsid w:val="265E7BA5"/>
    <w:rsid w:val="26C57B7A"/>
    <w:rsid w:val="276E1BD0"/>
    <w:rsid w:val="28D666D7"/>
    <w:rsid w:val="28F40496"/>
    <w:rsid w:val="29145B09"/>
    <w:rsid w:val="29E55C38"/>
    <w:rsid w:val="29F36B66"/>
    <w:rsid w:val="29F92C58"/>
    <w:rsid w:val="2A981631"/>
    <w:rsid w:val="2ADA6FF8"/>
    <w:rsid w:val="2AEE24E2"/>
    <w:rsid w:val="2B017E97"/>
    <w:rsid w:val="2B3C6B3E"/>
    <w:rsid w:val="2B5B3F25"/>
    <w:rsid w:val="2B6A695E"/>
    <w:rsid w:val="2BA65763"/>
    <w:rsid w:val="2BEC7070"/>
    <w:rsid w:val="2BED2BCC"/>
    <w:rsid w:val="2C0D6E49"/>
    <w:rsid w:val="2CA83EB9"/>
    <w:rsid w:val="2D9A3B92"/>
    <w:rsid w:val="2E127B88"/>
    <w:rsid w:val="2E2070D4"/>
    <w:rsid w:val="2E254534"/>
    <w:rsid w:val="2E6574FC"/>
    <w:rsid w:val="2EEA4EA3"/>
    <w:rsid w:val="2EEF3DCB"/>
    <w:rsid w:val="2F4A6C32"/>
    <w:rsid w:val="2F776BDF"/>
    <w:rsid w:val="2FC70F86"/>
    <w:rsid w:val="303703B7"/>
    <w:rsid w:val="30C22029"/>
    <w:rsid w:val="30CC0E8D"/>
    <w:rsid w:val="30DD4DE2"/>
    <w:rsid w:val="311E39FD"/>
    <w:rsid w:val="313C3AF3"/>
    <w:rsid w:val="315B5E95"/>
    <w:rsid w:val="317C5661"/>
    <w:rsid w:val="318A463B"/>
    <w:rsid w:val="324D611F"/>
    <w:rsid w:val="32607604"/>
    <w:rsid w:val="333A5836"/>
    <w:rsid w:val="335B7C68"/>
    <w:rsid w:val="33823CF8"/>
    <w:rsid w:val="339D70FF"/>
    <w:rsid w:val="33DC71A8"/>
    <w:rsid w:val="3418053F"/>
    <w:rsid w:val="3482764F"/>
    <w:rsid w:val="34890B03"/>
    <w:rsid w:val="34B6115F"/>
    <w:rsid w:val="34EC7A34"/>
    <w:rsid w:val="34EF56D6"/>
    <w:rsid w:val="35741906"/>
    <w:rsid w:val="35A70844"/>
    <w:rsid w:val="35B37D24"/>
    <w:rsid w:val="369C0B1C"/>
    <w:rsid w:val="37284660"/>
    <w:rsid w:val="373C4413"/>
    <w:rsid w:val="373E1D87"/>
    <w:rsid w:val="37885691"/>
    <w:rsid w:val="37B00CDF"/>
    <w:rsid w:val="381A257A"/>
    <w:rsid w:val="383513B5"/>
    <w:rsid w:val="38464C48"/>
    <w:rsid w:val="3860038E"/>
    <w:rsid w:val="38763CF1"/>
    <w:rsid w:val="38E4663C"/>
    <w:rsid w:val="38FB6203"/>
    <w:rsid w:val="38FE27D3"/>
    <w:rsid w:val="390704C5"/>
    <w:rsid w:val="3917205E"/>
    <w:rsid w:val="3957544B"/>
    <w:rsid w:val="395E655D"/>
    <w:rsid w:val="399F7E08"/>
    <w:rsid w:val="3A5E22ED"/>
    <w:rsid w:val="3A807CF6"/>
    <w:rsid w:val="3AB05298"/>
    <w:rsid w:val="3ACE2EE4"/>
    <w:rsid w:val="3B27789D"/>
    <w:rsid w:val="3B4D46D7"/>
    <w:rsid w:val="3B501235"/>
    <w:rsid w:val="3BD8480C"/>
    <w:rsid w:val="3BE80257"/>
    <w:rsid w:val="3BEF2135"/>
    <w:rsid w:val="3C6523A5"/>
    <w:rsid w:val="3CB03353"/>
    <w:rsid w:val="3CB21118"/>
    <w:rsid w:val="3D467861"/>
    <w:rsid w:val="3D6966DE"/>
    <w:rsid w:val="3DD6597B"/>
    <w:rsid w:val="3E416727"/>
    <w:rsid w:val="3E583ECB"/>
    <w:rsid w:val="3E6B08B9"/>
    <w:rsid w:val="3EB5745B"/>
    <w:rsid w:val="3EBC4B91"/>
    <w:rsid w:val="3EDB670B"/>
    <w:rsid w:val="3FF83F14"/>
    <w:rsid w:val="4079291D"/>
    <w:rsid w:val="40985E1B"/>
    <w:rsid w:val="40A02D91"/>
    <w:rsid w:val="40B0683B"/>
    <w:rsid w:val="40D93256"/>
    <w:rsid w:val="410305B7"/>
    <w:rsid w:val="41A945C9"/>
    <w:rsid w:val="41AD14A5"/>
    <w:rsid w:val="41BC4BBE"/>
    <w:rsid w:val="41FF6B57"/>
    <w:rsid w:val="42DA497B"/>
    <w:rsid w:val="42E5074C"/>
    <w:rsid w:val="42EB334A"/>
    <w:rsid w:val="431B489F"/>
    <w:rsid w:val="437672CF"/>
    <w:rsid w:val="43B55C46"/>
    <w:rsid w:val="43B6421A"/>
    <w:rsid w:val="43B90FC1"/>
    <w:rsid w:val="43E500FD"/>
    <w:rsid w:val="43E824FD"/>
    <w:rsid w:val="43EA5710"/>
    <w:rsid w:val="44070B4C"/>
    <w:rsid w:val="44A1682B"/>
    <w:rsid w:val="44D800BA"/>
    <w:rsid w:val="453B615D"/>
    <w:rsid w:val="45432368"/>
    <w:rsid w:val="45627106"/>
    <w:rsid w:val="45BB4AE0"/>
    <w:rsid w:val="461C728F"/>
    <w:rsid w:val="46282E28"/>
    <w:rsid w:val="468627DD"/>
    <w:rsid w:val="46A12299"/>
    <w:rsid w:val="46A85802"/>
    <w:rsid w:val="470234A2"/>
    <w:rsid w:val="47687CDF"/>
    <w:rsid w:val="47705678"/>
    <w:rsid w:val="4843587B"/>
    <w:rsid w:val="484B2E37"/>
    <w:rsid w:val="486B3A63"/>
    <w:rsid w:val="490C1EF4"/>
    <w:rsid w:val="490F6E38"/>
    <w:rsid w:val="49406B15"/>
    <w:rsid w:val="49C33133"/>
    <w:rsid w:val="49EE4FE0"/>
    <w:rsid w:val="4A1F169C"/>
    <w:rsid w:val="4A5E4053"/>
    <w:rsid w:val="4A7E3550"/>
    <w:rsid w:val="4AC544BB"/>
    <w:rsid w:val="4AD06CCA"/>
    <w:rsid w:val="4AE1073A"/>
    <w:rsid w:val="4B463EF5"/>
    <w:rsid w:val="4BD560EC"/>
    <w:rsid w:val="4C241E79"/>
    <w:rsid w:val="4CD6724B"/>
    <w:rsid w:val="4CE42681"/>
    <w:rsid w:val="4D313656"/>
    <w:rsid w:val="4D4249B5"/>
    <w:rsid w:val="4D520EA2"/>
    <w:rsid w:val="4D9145CE"/>
    <w:rsid w:val="4DD65CA8"/>
    <w:rsid w:val="4E8D7C4A"/>
    <w:rsid w:val="4F980F23"/>
    <w:rsid w:val="503F0703"/>
    <w:rsid w:val="506401FC"/>
    <w:rsid w:val="50E22D93"/>
    <w:rsid w:val="512272C9"/>
    <w:rsid w:val="51D16DE0"/>
    <w:rsid w:val="51FA22F8"/>
    <w:rsid w:val="525B147E"/>
    <w:rsid w:val="53154A1F"/>
    <w:rsid w:val="53381737"/>
    <w:rsid w:val="534058C8"/>
    <w:rsid w:val="53500112"/>
    <w:rsid w:val="53A60BA3"/>
    <w:rsid w:val="540D34EF"/>
    <w:rsid w:val="546635F4"/>
    <w:rsid w:val="54986130"/>
    <w:rsid w:val="54A70863"/>
    <w:rsid w:val="54CC60E5"/>
    <w:rsid w:val="558C2AB1"/>
    <w:rsid w:val="55A3172F"/>
    <w:rsid w:val="55C62303"/>
    <w:rsid w:val="55DF2C65"/>
    <w:rsid w:val="55F86EB3"/>
    <w:rsid w:val="5617314C"/>
    <w:rsid w:val="563138B4"/>
    <w:rsid w:val="568B3985"/>
    <w:rsid w:val="5738254E"/>
    <w:rsid w:val="5768159A"/>
    <w:rsid w:val="578A466F"/>
    <w:rsid w:val="57D821C1"/>
    <w:rsid w:val="58277EDC"/>
    <w:rsid w:val="5850145B"/>
    <w:rsid w:val="58DA0C09"/>
    <w:rsid w:val="58F2460D"/>
    <w:rsid w:val="593077DD"/>
    <w:rsid w:val="59FE1543"/>
    <w:rsid w:val="5A235C6A"/>
    <w:rsid w:val="5A6543DB"/>
    <w:rsid w:val="5AB11BA7"/>
    <w:rsid w:val="5AF15129"/>
    <w:rsid w:val="5B16116C"/>
    <w:rsid w:val="5B3A4D92"/>
    <w:rsid w:val="5B56561F"/>
    <w:rsid w:val="5B82431B"/>
    <w:rsid w:val="5BDB0F89"/>
    <w:rsid w:val="5BE1553E"/>
    <w:rsid w:val="5C9C2495"/>
    <w:rsid w:val="5CCC67EF"/>
    <w:rsid w:val="5D030F26"/>
    <w:rsid w:val="5D03701F"/>
    <w:rsid w:val="5D3905B7"/>
    <w:rsid w:val="5D393A6B"/>
    <w:rsid w:val="5D3A1E79"/>
    <w:rsid w:val="5D4E6EC9"/>
    <w:rsid w:val="5D76356B"/>
    <w:rsid w:val="5D997232"/>
    <w:rsid w:val="5E1C1A00"/>
    <w:rsid w:val="5F012CE8"/>
    <w:rsid w:val="5F053371"/>
    <w:rsid w:val="5F131328"/>
    <w:rsid w:val="5F3337CD"/>
    <w:rsid w:val="5FBC4264"/>
    <w:rsid w:val="5FDB1E6D"/>
    <w:rsid w:val="60114208"/>
    <w:rsid w:val="6040234A"/>
    <w:rsid w:val="6123117D"/>
    <w:rsid w:val="614D7107"/>
    <w:rsid w:val="614F5CEE"/>
    <w:rsid w:val="617D68E2"/>
    <w:rsid w:val="61857F93"/>
    <w:rsid w:val="61AE2CA5"/>
    <w:rsid w:val="62623C34"/>
    <w:rsid w:val="62AB2972"/>
    <w:rsid w:val="62C21D6C"/>
    <w:rsid w:val="62DB2B8C"/>
    <w:rsid w:val="632D4618"/>
    <w:rsid w:val="633057A3"/>
    <w:rsid w:val="63E566A1"/>
    <w:rsid w:val="6454244F"/>
    <w:rsid w:val="646E3336"/>
    <w:rsid w:val="64785961"/>
    <w:rsid w:val="647F0B2F"/>
    <w:rsid w:val="64BE104B"/>
    <w:rsid w:val="650E39D3"/>
    <w:rsid w:val="65A52A0F"/>
    <w:rsid w:val="65E3583B"/>
    <w:rsid w:val="664734F5"/>
    <w:rsid w:val="664C3C81"/>
    <w:rsid w:val="66541F3E"/>
    <w:rsid w:val="66B40B0F"/>
    <w:rsid w:val="66D173D9"/>
    <w:rsid w:val="6712609E"/>
    <w:rsid w:val="67180697"/>
    <w:rsid w:val="6748677A"/>
    <w:rsid w:val="67A65DBA"/>
    <w:rsid w:val="68955338"/>
    <w:rsid w:val="68E5215E"/>
    <w:rsid w:val="693020A5"/>
    <w:rsid w:val="69302EB9"/>
    <w:rsid w:val="69322306"/>
    <w:rsid w:val="693A039D"/>
    <w:rsid w:val="693A7728"/>
    <w:rsid w:val="69612724"/>
    <w:rsid w:val="69651328"/>
    <w:rsid w:val="6982256E"/>
    <w:rsid w:val="69CC7604"/>
    <w:rsid w:val="6A3761D2"/>
    <w:rsid w:val="6AA748D9"/>
    <w:rsid w:val="6B45521A"/>
    <w:rsid w:val="6B7B2D24"/>
    <w:rsid w:val="6B9A21C8"/>
    <w:rsid w:val="6BAA1F3F"/>
    <w:rsid w:val="6BD4406B"/>
    <w:rsid w:val="6C975211"/>
    <w:rsid w:val="6CC97699"/>
    <w:rsid w:val="6CDB464B"/>
    <w:rsid w:val="6D1C1BD2"/>
    <w:rsid w:val="6D485FC5"/>
    <w:rsid w:val="6D5B2B51"/>
    <w:rsid w:val="6D8F0003"/>
    <w:rsid w:val="6D9A775D"/>
    <w:rsid w:val="6DA56F08"/>
    <w:rsid w:val="6E003600"/>
    <w:rsid w:val="6E054EEB"/>
    <w:rsid w:val="6E767F3A"/>
    <w:rsid w:val="6E77458E"/>
    <w:rsid w:val="6EA3030F"/>
    <w:rsid w:val="6EB20249"/>
    <w:rsid w:val="6EC54FAF"/>
    <w:rsid w:val="6EDE1FFB"/>
    <w:rsid w:val="6F016CAF"/>
    <w:rsid w:val="6F3072A1"/>
    <w:rsid w:val="6FAC13EE"/>
    <w:rsid w:val="6FBC610A"/>
    <w:rsid w:val="6FDC4C74"/>
    <w:rsid w:val="706D5AC4"/>
    <w:rsid w:val="70D52EC3"/>
    <w:rsid w:val="713815FB"/>
    <w:rsid w:val="71726999"/>
    <w:rsid w:val="71B33500"/>
    <w:rsid w:val="71C2771C"/>
    <w:rsid w:val="71D566FB"/>
    <w:rsid w:val="71E57337"/>
    <w:rsid w:val="7239776B"/>
    <w:rsid w:val="724403D2"/>
    <w:rsid w:val="728D4EB8"/>
    <w:rsid w:val="72B63D21"/>
    <w:rsid w:val="72F35B3F"/>
    <w:rsid w:val="72FB43CB"/>
    <w:rsid w:val="73281BE3"/>
    <w:rsid w:val="732A56C7"/>
    <w:rsid w:val="738E0259"/>
    <w:rsid w:val="73CB20F5"/>
    <w:rsid w:val="73DA1F23"/>
    <w:rsid w:val="740A49E5"/>
    <w:rsid w:val="74650CD1"/>
    <w:rsid w:val="74895A91"/>
    <w:rsid w:val="74CF05B1"/>
    <w:rsid w:val="75152B1F"/>
    <w:rsid w:val="756613AC"/>
    <w:rsid w:val="7600293C"/>
    <w:rsid w:val="76490603"/>
    <w:rsid w:val="766815EA"/>
    <w:rsid w:val="766A4CCA"/>
    <w:rsid w:val="76AB57D2"/>
    <w:rsid w:val="77242E9D"/>
    <w:rsid w:val="777F4F12"/>
    <w:rsid w:val="78875650"/>
    <w:rsid w:val="78C62065"/>
    <w:rsid w:val="79490F0C"/>
    <w:rsid w:val="79777344"/>
    <w:rsid w:val="797C1EB1"/>
    <w:rsid w:val="79955BE1"/>
    <w:rsid w:val="79C7712C"/>
    <w:rsid w:val="79F0281F"/>
    <w:rsid w:val="7A176381"/>
    <w:rsid w:val="7A261C04"/>
    <w:rsid w:val="7A324420"/>
    <w:rsid w:val="7A4020A0"/>
    <w:rsid w:val="7A717CA2"/>
    <w:rsid w:val="7AAC245B"/>
    <w:rsid w:val="7AB74CE5"/>
    <w:rsid w:val="7AF468CA"/>
    <w:rsid w:val="7B1D4C2C"/>
    <w:rsid w:val="7B294DF3"/>
    <w:rsid w:val="7BCB6B4F"/>
    <w:rsid w:val="7C1D6B09"/>
    <w:rsid w:val="7C547353"/>
    <w:rsid w:val="7C645E96"/>
    <w:rsid w:val="7C6F3538"/>
    <w:rsid w:val="7C763145"/>
    <w:rsid w:val="7C9F557B"/>
    <w:rsid w:val="7CBB283A"/>
    <w:rsid w:val="7CF24A70"/>
    <w:rsid w:val="7D50582C"/>
    <w:rsid w:val="7D724DDA"/>
    <w:rsid w:val="7DF62C0B"/>
    <w:rsid w:val="7DFA1BAB"/>
    <w:rsid w:val="7E7349B1"/>
    <w:rsid w:val="7F733289"/>
    <w:rsid w:val="7FA2024C"/>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1"/>
    <w:basedOn w:val="1"/>
    <w:next w:val="1"/>
    <w:qFormat/>
    <w:uiPriority w:val="0"/>
    <w:pPr>
      <w:spacing w:before="100" w:beforeAutospacing="1" w:after="10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qFormat/>
    <w:uiPriority w:val="0"/>
    <w:pPr>
      <w:keepNext/>
      <w:keepLines/>
      <w:adjustRightInd w:val="0"/>
      <w:snapToGrid w:val="0"/>
      <w:spacing w:line="360" w:lineRule="auto"/>
      <w:outlineLvl w:val="1"/>
    </w:pPr>
    <w:rPr>
      <w:rFonts w:ascii="宋体" w:hAnsi="宋体"/>
    </w:rPr>
  </w:style>
  <w:style w:type="paragraph" w:styleId="2">
    <w:name w:val="heading 3"/>
    <w:basedOn w:val="1"/>
    <w:next w:val="1"/>
    <w:qFormat/>
    <w:uiPriority w:val="0"/>
    <w:pPr>
      <w:keepNext/>
      <w:keepLines/>
      <w:spacing w:before="260" w:after="260" w:line="413" w:lineRule="auto"/>
      <w:outlineLvl w:val="2"/>
    </w:pPr>
    <w:rPr>
      <w:b/>
      <w:sz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0"/>
    <w:rPr>
      <w:rFonts w:ascii="仿宋_GB2312" w:eastAsia="仿宋_GB2312"/>
      <w:sz w:val="32"/>
    </w:rPr>
  </w:style>
  <w:style w:type="paragraph" w:styleId="6">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7">
    <w:name w:val="Balloon Text"/>
    <w:basedOn w:val="1"/>
    <w:unhideWhenUsed/>
    <w:qFormat/>
    <w:uiPriority w:val="0"/>
    <w:rPr>
      <w:rFonts w:ascii="Calibri" w:hAnsi="Calibri" w:eastAsia="宋体"/>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pPr>
      <w:spacing w:line="180" w:lineRule="auto"/>
      <w:jc w:val="center"/>
    </w:pPr>
    <w:rPr>
      <w:sz w:val="30"/>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2">
    <w:name w:val="Body Text First Indent"/>
    <w:basedOn w:val="5"/>
    <w:qFormat/>
    <w:uiPriority w:val="99"/>
    <w:pPr>
      <w:ind w:firstLine="420" w:firstLineChars="100"/>
    </w:pPr>
  </w:style>
  <w:style w:type="table" w:styleId="14">
    <w:name w:val="Table Grid"/>
    <w:basedOn w:val="13"/>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TOC1"/>
    <w:basedOn w:val="1"/>
    <w:next w:val="1"/>
    <w:qFormat/>
    <w:uiPriority w:val="0"/>
    <w:pPr>
      <w:tabs>
        <w:tab w:val="left" w:pos="1260"/>
        <w:tab w:val="left" w:pos="1685"/>
        <w:tab w:val="right" w:leader="dot" w:pos="8400"/>
      </w:tabs>
      <w:spacing w:line="320" w:lineRule="exact"/>
      <w:ind w:firstLine="280" w:firstLineChars="100"/>
    </w:pPr>
  </w:style>
  <w:style w:type="paragraph" w:customStyle="1" w:styleId="18">
    <w:name w:val="图例"/>
    <w:basedOn w:val="1"/>
    <w:qFormat/>
    <w:uiPriority w:val="0"/>
    <w:pPr>
      <w:spacing w:line="360" w:lineRule="auto"/>
      <w:jc w:val="center"/>
    </w:pPr>
    <w:rPr>
      <w:rFonts w:eastAsia="仿宋_GB2312"/>
      <w:b/>
      <w:sz w:val="24"/>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117</Words>
  <Characters>143</Characters>
  <Lines>0</Lines>
  <Paragraphs>0</Paragraphs>
  <TotalTime>0</TotalTime>
  <ScaleCrop>false</ScaleCrop>
  <LinksUpToDate>false</LinksUpToDate>
  <CharactersWithSpaces>147</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Administrator</cp:lastModifiedBy>
  <cp:lastPrinted>2025-04-28T06:58:00Z</cp:lastPrinted>
  <dcterms:modified xsi:type="dcterms:W3CDTF">2026-06-04T01:39:08Z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