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00" w:lineRule="atLeast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社区卫生服务中心银医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项目服务需求</w:t>
      </w:r>
    </w:p>
    <w:p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一、采购项目一览表</w:t>
      </w:r>
    </w:p>
    <w:tbl>
      <w:tblPr>
        <w:tblStyle w:val="12"/>
        <w:tblW w:w="66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6"/>
        <w:gridCol w:w="1106"/>
        <w:gridCol w:w="1575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3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yellow"/>
                <w:lang w:val="en-US" w:eastAsia="zh-CN"/>
              </w:rPr>
              <w:t>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atLeast"/>
              <w:ind w:right="0" w:firstLine="480" w:firstLineChars="20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bookmarkStart w:id="0" w:name="_Hlk344477914"/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银医通项目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  <w:t>60天内</w:t>
            </w:r>
          </w:p>
        </w:tc>
      </w:tr>
      <w:bookmarkEnd w:id="0"/>
    </w:tbl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1" w:name="OLE_LINK6"/>
    </w:p>
    <w:bookmarkEnd w:id="1"/>
    <w:p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二、医院自身需求</w:t>
      </w:r>
    </w:p>
    <w:p>
      <w:pPr>
        <w:snapToGrid w:val="0"/>
        <w:spacing w:before="120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我院</w:t>
      </w:r>
      <w:r>
        <w:rPr>
          <w:rFonts w:hint="eastAsia" w:ascii="宋体" w:hAnsi="宋体" w:eastAsia="宋体" w:cs="宋体"/>
          <w:sz w:val="24"/>
          <w:szCs w:val="24"/>
        </w:rPr>
        <w:t>荷花坪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屏都社区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卫生服务中心</w:t>
      </w:r>
      <w:r>
        <w:rPr>
          <w:rFonts w:hint="eastAsia" w:ascii="宋体" w:hAnsi="宋体" w:eastAsia="宋体" w:cs="宋体"/>
          <w:sz w:val="24"/>
          <w:szCs w:val="24"/>
        </w:rPr>
        <w:t>实际情况，综合智慧医院建设、患者服务、金融支持等各方需求，开展以统一支付对账平台为基础的新型银医合作模式，提升便民惠民服务水平，助推医院高质量发展。</w:t>
      </w:r>
    </w:p>
    <w:p>
      <w:pPr>
        <w:snapToGrid w:val="0"/>
        <w:spacing w:before="120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项目通过自助机、移动端、收费窗口等多种途径，优化支付流程，改善结算模式，实现患者一体化就医、结算便捷服务；保障信息安全的前提下，通过与医保、第三方支付机构对接，为患者提供多种在线支付方式，切实提升患者就医满意度；提供统一完善的支付、退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监管一体化的管理平台，提高院内业务管理效率，降低财务风险。</w:t>
      </w:r>
    </w:p>
    <w:p>
      <w:pPr>
        <w:snapToGrid w:val="0"/>
        <w:spacing w:before="12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具体建设目标：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1.支持医保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卡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 xml:space="preserve">、身份证、电子医保卡等多种身份识别 </w:t>
      </w:r>
    </w:p>
    <w:p>
      <w:pPr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新患者可以直接通过自助机将身份证、医保卡、电子居民健康卡等多种方式签约注册成为就诊卡，并兼容原有持医院就诊卡患者的使用和原有的就诊信息的关联。通过统一身份识别，可以保障患者就医过程中的信息连贯性。根据医院情况，也可支持医院条形码/二维码、电子医保卡就医模式。</w:t>
      </w:r>
    </w:p>
    <w:p>
      <w:pPr>
        <w:numPr>
          <w:ilvl w:val="0"/>
          <w:numId w:val="2"/>
        </w:numP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 xml:space="preserve">就诊流程优化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基于统一平台的规划设计，可支持线上线下多种预约途径，建立医院预约诊疗制度。在患者就诊过程提供自助、人工窗口、医生站、各执行点等各场景的多种便捷支付方案。并支持患者就医过程中的消息提醒。通过多种手段实现患者就医流程的优化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 xml:space="preserve">支付方式全覆盖  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满足患者就医中的医保、自费支付方式。医保根据社保接口开发政策可支持医保的普通门诊缴费以及重症、慢特病的的个人账户金和统筹金的支付结算。自费部分支持微信、支付宝等方式支付。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 xml:space="preserve">新型的自助应用  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区别于传统建设模式的自助前台应用，采用更人性化的前台人机交互界面，提升患者体验感。并可实现自助终端上的医保自助结算等特色应用功能，提高自助服务分流率。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 xml:space="preserve">5.统一的支付渠道管理  </w:t>
      </w:r>
    </w:p>
    <w:p>
      <w:pPr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通过统一支付平台医院财务科管理人员可实现对支付渠道信息、渠道的业务功能管理及维护，包含支付渠道信息管理、支付渠道功能管理、支付渠道安全管理等。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 xml:space="preserve">6.系统可灵活扩展 </w:t>
      </w:r>
    </w:p>
    <w:p>
      <w:pPr>
        <w:snapToGrid w:val="0"/>
        <w:spacing w:before="120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基于支付平台医院可快速扩展新支付渠道和支付方式，最大化降低院内系统改造成本。拓展的适应范围包括但不限于合作银行增加、支付渠道扩展、服务渠道增加、HIS升级或更换等，以确保系统在外部环境变化后，不必全部更换和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新建设，降低后期拓展成本，提高资金使用效率。</w:t>
      </w:r>
      <w:bookmarkStart w:id="2" w:name="_Toc127363177"/>
    </w:p>
    <w:p>
      <w:pPr>
        <w:snapToGrid w:val="0"/>
        <w:spacing w:before="12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四、建设内容</w:t>
      </w:r>
      <w:bookmarkEnd w:id="2"/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荷花坪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社区</w:t>
      </w:r>
      <w:r>
        <w:rPr>
          <w:rFonts w:hint="eastAsia" w:ascii="宋体" w:hAnsi="宋体" w:eastAsia="宋体" w:cs="宋体"/>
          <w:sz w:val="24"/>
          <w:szCs w:val="24"/>
        </w:rPr>
        <w:t>建设内容如下：</w:t>
      </w:r>
    </w:p>
    <w:tbl>
      <w:tblPr>
        <w:tblStyle w:val="12"/>
        <w:tblW w:w="887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3"/>
        <w:gridCol w:w="2386"/>
        <w:gridCol w:w="886"/>
        <w:gridCol w:w="476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8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软件清单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项目功能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就医服务系统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1套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1）患者服务入口：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建立统一的患者移动端服务体系，患者通过统一入口即可访问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主管医院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及两家社区院区的线上服务，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实现统一身份认证，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确保跨院区服务体验一致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诊前服务：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患者在线建档、身份注册及就诊卡绑定，支持身份证、医保卡、电子医保凭证、电子健康卡等多种身份介质；实现患者身份跨院区统一识别与信息关联，确保历史就诊信息连续可查；实现线上预约挂号、号源查询、就诊时段选择；实现就诊提醒、候诊提醒、报告完成提醒等消息推送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3）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诊中服务：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实现线上门诊缴费，支持医保个人账户、统筹账户及自费混合支付；实现检验检查报告、电子处方查询；实现住院金预交及住院费用查询。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4）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诊后服务：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实现就诊记录、缴费明细、报告历史等跨院区查询；实现满意度评价与就医反馈收集。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5）集中管理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支持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主管医院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统一维护服务项目目录、收费标准、预约规则等基础参数；支持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主管医院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按权限查询本社区挂号量、缴费笔数、报告查询次数等运营数据。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银医自助服务系统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1套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身份识别与签约：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实现患者自助签约注册，支持身份证、医保卡、电子医保凭证、电子健康卡、就诊卡、条码/二维码、门诊号、住院号、外国人永久居留证等多种介质读取；实现新患者自助建档，建立与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主管医院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患者主索引的关联。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当日挂号：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实现患者通过就诊介质完成身份识别后，按科室/医生查询当日出诊信息，支付（支持医保、自费、混合支付）后打印挂号单，直接进入分诊队列，无需二次分诊。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3）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预约挂号：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实现患者查询预约期内号源，选择就诊时段并确认预约。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4）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挂号退费：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实现挂号费原路退费，扣费成功且HIS业务办理成功的支持窗口原路退费；HIS业务办理失败的由后台单边账独立处理。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门诊缴费：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实现医生开单后（检查、检验、处方等）的自助缴费，支持医保卡、医保+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第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三方支付混合支付、微信、支付宝等方式；缴费后打印凭条，患者凭条到执行科室检查或药房取药。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6）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门诊退费：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实现门诊缴费原路退费，支持窗口退费及后台单边账独立处理。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7）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住院充值：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实现门诊开具的预住院患者或在院患者的预缴充值，支持微信、支付宝、银行卡支付。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8）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住院退费：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实现住院充值原路退费。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9）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信息查询：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实现门诊挂号记录、缴费记录、检验/检查报告查询；实现住院预交金充值记录查询。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10）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报告打印：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实现门诊检验/检查报告自助打印。</w:t>
            </w:r>
          </w:p>
          <w:p>
            <w:pPr>
              <w:pStyle w:val="2"/>
              <w:spacing w:line="240" w:lineRule="auto"/>
              <w:ind w:left="0" w:leftChars="0" w:firstLine="0" w:firstLineChars="0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11）设备远程管理：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实现医院远程查看自助机设备运行状态、故障预警信息，可远程操作设备开关机；支持主管医院按权限查询各社区院区的自助机服务数据和交易数据。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排队叫号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1套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分诊排队：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实现按诊区、科室、医生的多级分诊排队管理；支持患者扫码登记报到或系统自动报到，报到后进入分诊队列。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呼叫显示：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实现医生诊室呼叫、候诊区叫号信息综合显示、诊室叫号显示，以清晰提示患者。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3）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语音播报：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实现候诊区语音播报（采用显示屏内置喇叭或外接功放）及诊室语音播报（采用显示屏内置喇叭）。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统一支付平台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1套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支付通道管理：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实现支付渠道信息集中管理、业务功能配置及安全管理；支持微信、支付宝、银联、医保等渠道的接入、启用/停用、参数配置。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订单与支付：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实现统一订单管理，支持多渠道订单聚合、状态跟踪；实现统一支付处理，支持多渠道支付路由、支付结果通知。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3）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退费管理：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实现统一退费管理，支持原路退费、手工退费等多种模式；实现退费审批流程配置及退费记录查询。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4）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对账管理：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实现交易对账，支持与HIS、第三方支付渠道、医保的日终对账；实现单边账自动识别、预警及独立后台处理。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集中管理：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社区院区支付平台须纳入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主管医院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统一支付管理体系，支付渠道、费率、结算规则由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主管医院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统一配置；支持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主管医院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财务部门集中进行跨院区交易监控、资金核对、账务处理；支持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主管医院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按社区院区维度查询支付交易量、退费笔数、对账差异等运营数据。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8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硬件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清单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项目功能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1.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自助机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1台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大于等于32寸立式自助机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2.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叫号诊间屏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5台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大于等于21.5寸设计及规范要求，以及满足本次招标的技术参数要求，一体化设计，集成显示声音一体化控制管理。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3.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服务器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1台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2.3GHZ以上，四核 | 内存：16G以上 | 存储空间：500GB以上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操作系统：Windows Server2012及以上服务器操作系统</w:t>
            </w:r>
          </w:p>
        </w:tc>
      </w:tr>
    </w:tbl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2、屏都社区</w:t>
      </w:r>
      <w:r>
        <w:rPr>
          <w:rFonts w:hint="eastAsia" w:ascii="宋体" w:hAnsi="宋体" w:eastAsia="宋体" w:cs="宋体"/>
          <w:sz w:val="24"/>
          <w:szCs w:val="24"/>
        </w:rPr>
        <w:t>建设内容如下：</w:t>
      </w:r>
    </w:p>
    <w:tbl>
      <w:tblPr>
        <w:tblStyle w:val="12"/>
        <w:tblW w:w="887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3"/>
        <w:gridCol w:w="2386"/>
        <w:gridCol w:w="886"/>
        <w:gridCol w:w="476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8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软件清单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项目功能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1.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就医服务系统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1套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1）患者服务入口：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建立统一的患者移动端服务体系，患者通过统一入口即可访问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主管医院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及两家社区院区的线上服务，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实现统一身份认证，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确保跨院区服务体验一致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诊前服务：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患者在线建档、身份注册及就诊卡绑定，支持身份证、医保卡、电子医保凭证、电子健康卡等多种身份介质；实现患者身份跨院区统一识别与信息关联，确保历史就诊信息连续可查；实现线上预约挂号、号源查询、就诊时段选择；实现就诊提醒、候诊提醒、报告完成提醒等消息推送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3）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诊中服务：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实现线上门诊缴费，支持医保个人账户、统筹账户及自费混合支付；实现检验检查报告、电子处方查询；实现住院金预交及住院费用查询。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4）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诊后服务：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实现就诊记录、缴费明细、报告历史等跨院区查询；实现满意度评价与就医反馈收集。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5）集中管理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支持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主管医院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统一维护服务项目目录、收费标准、预约规则等基础参数；支持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主管医院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按权限查询本社区挂号量、缴费笔数、报告查询次数等运营数据。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2.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银医自助服务系统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1套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身份识别与签约：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实现患者自助签约注册，支持身份证、医保卡、电子医保凭证、电子健康卡、就诊卡、条码/二维码、门诊号、住院号、外国人永久居留证等多种介质读取；实现新患者自助建档，建立与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主管医院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患者主索引的关联。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当日挂号：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实现患者通过就诊介质完成身份识别后，按科室/医生查询当日出诊信息，支付（支持医保、自费、混合支付）后打印挂号单，直接进入分诊队列，无需二次分诊。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3）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预约挂号：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实现患者查询预约期内号源，选择就诊时段并确认预约。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4）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挂号退费：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实现挂号费原路退费，扣费成功且HIS业务办理成功的支持窗口原路退费；HIS业务办理失败的由后台单边账独立处理。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门诊缴费：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实现医生开单后（检查、检验、处方等）的自助缴费，支持医保卡、医保+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第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三方支付混合支付、微信、支付宝等方式；缴费后打印凭条，患者凭条到执行科室检查或药房取药。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6）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门诊退费：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实现门诊缴费原路退费，支持窗口退费及后台单边账独立处理。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7）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住院充值：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实现门诊开具的预住院患者或在院患者的预缴充值，支持微信、支付宝、银行卡支付。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8）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住院退费：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实现住院充值原路退费。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9）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信息查询：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实现门诊挂号记录、缴费记录、检验/检查报告查询；实现住院预交金充值记录查询。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10）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报告打印：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实现门诊检验/检查报告自助打印。</w:t>
            </w:r>
          </w:p>
          <w:p>
            <w:pPr>
              <w:pStyle w:val="2"/>
              <w:spacing w:line="240" w:lineRule="auto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11）设备远程管理：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实现医院远程查看自助机设备运行状态、故障预警信息，可远程操作设备开关机；支持主管医院按权限查询各社区院区的自助机服务数据和交易数据。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3.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排队叫号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1套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分诊排队：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实现按诊区、科室、医生的多级分诊排队管理；支持患者扫码登记报到或系统自动报到，报到后进入分诊队列。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呼叫显示：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实现医生诊室呼叫、候诊区叫号信息综合显示、诊室叫号显示，以清晰提示患者。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3）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语音播报：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实现候诊区语音播报（采用显示屏内置喇叭或外接功放）及诊室语音播报（采用显示屏内置喇叭）。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4.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统一支付平台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1套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支付通道管理：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实现支付渠道信息集中管理、业务功能配置及安全管理；支持微信、支付宝、银联、医保等渠道的接入、启用/停用、参数配置。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订单与支付：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实现统一订单管理，支持多渠道订单聚合、状态跟踪；实现统一支付处理，支持多渠道支付路由、支付结果通知。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3）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退费管理：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实现统一退费管理，支持原路退费、手工退费等多种模式；实现退费审批流程配置及退费记录查询。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4）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对账管理：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实现交易对账，支持与HIS、第三方支付渠道、医保的日终对账；实现单边账自动识别、预警及独立后台处理。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5）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集中管理：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社区院区支付平台须纳入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主管医院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统一支付管理体系，支付渠道、费率、结算规则由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主管医院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统一配置；支持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主管医院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财务部门集中进行跨院区交易监控、资金核对、账务处理；支持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主管医院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按社区院区维度查询支付交易量、退费笔数、对账差异等运营数据。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5.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HIS接口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银医及自助机与HIS相关接口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8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硬件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清单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项目功能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1.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自助机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1台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大于等于32寸立式自助机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2.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叫号诊间屏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3台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大于等于21.5寸设计及规范要求，以及满足本次招标的技术参数要求，一体化设计，集成显示声音一体化控制管理。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3.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服务器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1台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2.3GHZ以上，四核 | 内存：16G以上 | 存储空间：500GB以上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操作系统：Windows Server2012及以上服务器操作系统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4.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签到取号机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40" w:firstLineChars="10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用于解决屏都社区儿保室排队叫号功能软件，与服务器后台软件集成配套使用。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>
      <w:pPr>
        <w:snapToGrid w:val="0"/>
        <w:spacing w:before="12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五、建设原则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1.注重创新，务实推进</w:t>
      </w:r>
    </w:p>
    <w:p>
      <w:pPr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医院银医项目建设方案，要突出为民、便民、惠民，一方面基于患者日常使用习惯设计系统，方便好用；另一方面要创新服务流程，在就医过程中减少、优化原就医流程，便利患者。同时避免重复建设，注重原有信息化成果保护，同时基于医院财务管理原则进行建设和改造，保障财务安全。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2.统一标准，统筹建设</w:t>
      </w:r>
    </w:p>
    <w:p>
      <w:pPr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从规划的全局出发、从长远的角度考虑，遵循标准统筹实现健康医疗信息资源的采集、存储、交换和共享工作。遵照国家相关标准、技术规范，以及卫健委关于医疗卫生信息化建设的具体指导方案和意见。必须“统一规范、统一编码、统一接口”，规范数据平台的基本功能、数据模型和数据编码等信息标准。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3.统一服务，确保质量</w:t>
      </w:r>
    </w:p>
    <w:p>
      <w:pPr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统一数据服务，包括数据接口的定义、格式的约束、数据交换的方式和渠道等。所有的数据接口定义都有据可行，能够形成统一和清晰的数据管理规范。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4.可管可控，确保安全</w:t>
      </w:r>
    </w:p>
    <w:p>
      <w:pPr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医院统一支付建设内容，涉及居民个人信息安全、财务安全等，必须落实国家信息安全等级保护制度，强化网络和信息安全管理，落实责任机制，健全网络和信息安全标准体系，加大依法管理网络和保护个人信息的力度，加强要害信息系统和信息基础设施安全保障，确保安全可控。</w:t>
      </w:r>
    </w:p>
    <w:p>
      <w:pPr>
        <w:snapToGrid w:val="0"/>
        <w:spacing w:before="120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六、建设要求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.本次报价须为人民币报价，包含：产品价、运输费（含装卸费）、保险费、安装费(含综合布线)、辅材、人工、调试费、售后服务费、税费、培训费等货到采购人指定地点的所有费用。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项目进度要求：项目要求在合同签订30日内完成基础的自助及移动支付、排队叫号上线，合同签订60日内完成合同所有内容验收。</w:t>
      </w:r>
    </w:p>
    <w:p>
      <w:pPr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Sans Serif">
    <w:altName w:val="Times New Roman"/>
    <w:panose1 w:val="00000000000000000000"/>
    <w:charset w:val="4D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A1E28E"/>
    <w:multiLevelType w:val="singleLevel"/>
    <w:tmpl w:val="86A1E2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B7BB2DE"/>
    <w:multiLevelType w:val="singleLevel"/>
    <w:tmpl w:val="3B7BB2D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A015ACA"/>
    <w:multiLevelType w:val="multilevel"/>
    <w:tmpl w:val="7A015ACA"/>
    <w:lvl w:ilvl="0" w:tentative="0">
      <w:start w:val="1"/>
      <w:numFmt w:val="decimal"/>
      <w:pStyle w:val="3"/>
      <w:lvlText w:val="%1"/>
      <w:lvlJc w:val="left"/>
      <w:pPr>
        <w:ind w:left="432" w:hanging="432"/>
      </w:pPr>
    </w:lvl>
    <w:lvl w:ilvl="1" w:tentative="0">
      <w:start w:val="1"/>
      <w:numFmt w:val="decimal"/>
      <w:pStyle w:val="6"/>
      <w:lvlText w:val="%1.%2"/>
      <w:lvlJc w:val="left"/>
      <w:pPr>
        <w:ind w:left="576" w:hanging="576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default"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sz w:val="24"/>
        <w:szCs w:val="24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wYjQ2OWE2NGQ4OTBmZjk3ZmI5ZTBmMDQyYTczNDgifQ=="/>
  </w:docVars>
  <w:rsids>
    <w:rsidRoot w:val="00000000"/>
    <w:rsid w:val="005D5650"/>
    <w:rsid w:val="00F60100"/>
    <w:rsid w:val="017A471D"/>
    <w:rsid w:val="02241328"/>
    <w:rsid w:val="02315791"/>
    <w:rsid w:val="027201D4"/>
    <w:rsid w:val="02E73767"/>
    <w:rsid w:val="033205AA"/>
    <w:rsid w:val="03375771"/>
    <w:rsid w:val="04BD7D66"/>
    <w:rsid w:val="04F52AAD"/>
    <w:rsid w:val="053F6612"/>
    <w:rsid w:val="058644DF"/>
    <w:rsid w:val="068610F1"/>
    <w:rsid w:val="069D3F94"/>
    <w:rsid w:val="06B9196E"/>
    <w:rsid w:val="06F70AC5"/>
    <w:rsid w:val="072E1A0C"/>
    <w:rsid w:val="07AE1701"/>
    <w:rsid w:val="07FC4B3B"/>
    <w:rsid w:val="081635A3"/>
    <w:rsid w:val="08C0450C"/>
    <w:rsid w:val="08E34880"/>
    <w:rsid w:val="09494F3C"/>
    <w:rsid w:val="09507E94"/>
    <w:rsid w:val="0A47368B"/>
    <w:rsid w:val="0AAF3D44"/>
    <w:rsid w:val="0B2E3E94"/>
    <w:rsid w:val="0B551ACD"/>
    <w:rsid w:val="0B753BAC"/>
    <w:rsid w:val="0BCB6D5D"/>
    <w:rsid w:val="0D1670B0"/>
    <w:rsid w:val="0DED7A11"/>
    <w:rsid w:val="0E370715"/>
    <w:rsid w:val="0E56776C"/>
    <w:rsid w:val="0E655A6F"/>
    <w:rsid w:val="0EC04FE0"/>
    <w:rsid w:val="0F092DFA"/>
    <w:rsid w:val="0F7378F6"/>
    <w:rsid w:val="0F7F5EF9"/>
    <w:rsid w:val="0FE43953"/>
    <w:rsid w:val="109B5296"/>
    <w:rsid w:val="11C63C49"/>
    <w:rsid w:val="11E708B1"/>
    <w:rsid w:val="12493CD5"/>
    <w:rsid w:val="12BC2C1A"/>
    <w:rsid w:val="12F51A38"/>
    <w:rsid w:val="13C242D9"/>
    <w:rsid w:val="1497782D"/>
    <w:rsid w:val="14D46722"/>
    <w:rsid w:val="14D51ABF"/>
    <w:rsid w:val="150317C5"/>
    <w:rsid w:val="155148E8"/>
    <w:rsid w:val="158E631E"/>
    <w:rsid w:val="15A329A2"/>
    <w:rsid w:val="15A557EE"/>
    <w:rsid w:val="16882CE8"/>
    <w:rsid w:val="17063188"/>
    <w:rsid w:val="172011E3"/>
    <w:rsid w:val="17AD104E"/>
    <w:rsid w:val="17D95B95"/>
    <w:rsid w:val="192D018D"/>
    <w:rsid w:val="1A2D38FD"/>
    <w:rsid w:val="1A6865CD"/>
    <w:rsid w:val="1A6E5929"/>
    <w:rsid w:val="1AAB7BC8"/>
    <w:rsid w:val="1ABC6A5A"/>
    <w:rsid w:val="1B147BF8"/>
    <w:rsid w:val="1B5D3B28"/>
    <w:rsid w:val="1D216E0D"/>
    <w:rsid w:val="1DD301B7"/>
    <w:rsid w:val="1E26238D"/>
    <w:rsid w:val="1E28039D"/>
    <w:rsid w:val="1ED2365B"/>
    <w:rsid w:val="1F3478DF"/>
    <w:rsid w:val="1FDD5736"/>
    <w:rsid w:val="209D3306"/>
    <w:rsid w:val="21364B4D"/>
    <w:rsid w:val="219927F1"/>
    <w:rsid w:val="21B1455F"/>
    <w:rsid w:val="222418EA"/>
    <w:rsid w:val="22281FB5"/>
    <w:rsid w:val="2363606A"/>
    <w:rsid w:val="23850DD7"/>
    <w:rsid w:val="239A4EF0"/>
    <w:rsid w:val="23ED5B1A"/>
    <w:rsid w:val="24167A02"/>
    <w:rsid w:val="257461D8"/>
    <w:rsid w:val="25B13B20"/>
    <w:rsid w:val="25DE2274"/>
    <w:rsid w:val="262429C1"/>
    <w:rsid w:val="269E3A9D"/>
    <w:rsid w:val="27163880"/>
    <w:rsid w:val="2818755A"/>
    <w:rsid w:val="285F48E3"/>
    <w:rsid w:val="288434E9"/>
    <w:rsid w:val="28D90C44"/>
    <w:rsid w:val="29681C75"/>
    <w:rsid w:val="2A7F4D59"/>
    <w:rsid w:val="2AD274CF"/>
    <w:rsid w:val="2ADC26C4"/>
    <w:rsid w:val="2C0C2D5C"/>
    <w:rsid w:val="2C3B1828"/>
    <w:rsid w:val="2C5D2AB3"/>
    <w:rsid w:val="2C7C081E"/>
    <w:rsid w:val="2CB1704A"/>
    <w:rsid w:val="2D3E7925"/>
    <w:rsid w:val="2D527C2F"/>
    <w:rsid w:val="2D957D52"/>
    <w:rsid w:val="2D985C93"/>
    <w:rsid w:val="2E1D6FFC"/>
    <w:rsid w:val="2E961B32"/>
    <w:rsid w:val="2EF347FD"/>
    <w:rsid w:val="2F12269F"/>
    <w:rsid w:val="30342901"/>
    <w:rsid w:val="30876D03"/>
    <w:rsid w:val="3225488A"/>
    <w:rsid w:val="32920350"/>
    <w:rsid w:val="330035ED"/>
    <w:rsid w:val="340D1F4A"/>
    <w:rsid w:val="34B52266"/>
    <w:rsid w:val="36071E4A"/>
    <w:rsid w:val="36750EBA"/>
    <w:rsid w:val="36F33734"/>
    <w:rsid w:val="37BF5E88"/>
    <w:rsid w:val="37E97D5B"/>
    <w:rsid w:val="3862042D"/>
    <w:rsid w:val="393D6ADF"/>
    <w:rsid w:val="39431188"/>
    <w:rsid w:val="394541CB"/>
    <w:rsid w:val="39DE666A"/>
    <w:rsid w:val="39EA0033"/>
    <w:rsid w:val="3AAE3A50"/>
    <w:rsid w:val="3AB65366"/>
    <w:rsid w:val="3BCB4E27"/>
    <w:rsid w:val="3CAB7EC8"/>
    <w:rsid w:val="3D023718"/>
    <w:rsid w:val="3D61347F"/>
    <w:rsid w:val="3D931088"/>
    <w:rsid w:val="3DA51E2F"/>
    <w:rsid w:val="3E876263"/>
    <w:rsid w:val="3ED7284E"/>
    <w:rsid w:val="40FF3EDE"/>
    <w:rsid w:val="41AE2B3C"/>
    <w:rsid w:val="42130E0E"/>
    <w:rsid w:val="425D353F"/>
    <w:rsid w:val="438D69B4"/>
    <w:rsid w:val="44D43576"/>
    <w:rsid w:val="45AF0A29"/>
    <w:rsid w:val="46051B68"/>
    <w:rsid w:val="460F1511"/>
    <w:rsid w:val="461531F3"/>
    <w:rsid w:val="46FF12B1"/>
    <w:rsid w:val="479176D5"/>
    <w:rsid w:val="48270588"/>
    <w:rsid w:val="488C5501"/>
    <w:rsid w:val="49393E04"/>
    <w:rsid w:val="49396CA5"/>
    <w:rsid w:val="4A481764"/>
    <w:rsid w:val="4A676E2E"/>
    <w:rsid w:val="4AB71ED8"/>
    <w:rsid w:val="4B231836"/>
    <w:rsid w:val="4BFB1A44"/>
    <w:rsid w:val="4CAD7D42"/>
    <w:rsid w:val="4D051517"/>
    <w:rsid w:val="4D8E0D73"/>
    <w:rsid w:val="4D985854"/>
    <w:rsid w:val="4DED034D"/>
    <w:rsid w:val="4F166127"/>
    <w:rsid w:val="4F79139D"/>
    <w:rsid w:val="50B77E6B"/>
    <w:rsid w:val="50CA6071"/>
    <w:rsid w:val="513D33D1"/>
    <w:rsid w:val="51C01382"/>
    <w:rsid w:val="52B949A6"/>
    <w:rsid w:val="52CC1687"/>
    <w:rsid w:val="533F6D70"/>
    <w:rsid w:val="5394157F"/>
    <w:rsid w:val="53A0668E"/>
    <w:rsid w:val="53A675A4"/>
    <w:rsid w:val="53B35FFD"/>
    <w:rsid w:val="54696380"/>
    <w:rsid w:val="55B37FC0"/>
    <w:rsid w:val="562D42F7"/>
    <w:rsid w:val="56381B69"/>
    <w:rsid w:val="57F622D8"/>
    <w:rsid w:val="592B6E23"/>
    <w:rsid w:val="5A4C6FBF"/>
    <w:rsid w:val="5A723355"/>
    <w:rsid w:val="5AFB7321"/>
    <w:rsid w:val="5AFD03A1"/>
    <w:rsid w:val="5B274722"/>
    <w:rsid w:val="5B5A4B82"/>
    <w:rsid w:val="5BF812C3"/>
    <w:rsid w:val="5CAC4854"/>
    <w:rsid w:val="5D56357B"/>
    <w:rsid w:val="5D746C3C"/>
    <w:rsid w:val="5DA205A7"/>
    <w:rsid w:val="5FAA5F80"/>
    <w:rsid w:val="60296C57"/>
    <w:rsid w:val="60807818"/>
    <w:rsid w:val="608B768E"/>
    <w:rsid w:val="60D50DC8"/>
    <w:rsid w:val="60E46E8A"/>
    <w:rsid w:val="61C70F17"/>
    <w:rsid w:val="61DC10A2"/>
    <w:rsid w:val="620E46DB"/>
    <w:rsid w:val="62D72C36"/>
    <w:rsid w:val="640A5197"/>
    <w:rsid w:val="64376571"/>
    <w:rsid w:val="660E2DCB"/>
    <w:rsid w:val="6655537D"/>
    <w:rsid w:val="672C1A82"/>
    <w:rsid w:val="67D128C4"/>
    <w:rsid w:val="68145483"/>
    <w:rsid w:val="68471F21"/>
    <w:rsid w:val="68B074C9"/>
    <w:rsid w:val="69006303"/>
    <w:rsid w:val="695801D9"/>
    <w:rsid w:val="69603FA5"/>
    <w:rsid w:val="699F67A3"/>
    <w:rsid w:val="69A332C9"/>
    <w:rsid w:val="69BD1290"/>
    <w:rsid w:val="69F376BA"/>
    <w:rsid w:val="6A3C2C56"/>
    <w:rsid w:val="6A4D587D"/>
    <w:rsid w:val="6A702CE4"/>
    <w:rsid w:val="6A9B6D04"/>
    <w:rsid w:val="6AB25093"/>
    <w:rsid w:val="6B017369"/>
    <w:rsid w:val="6B2831CD"/>
    <w:rsid w:val="6B7015F4"/>
    <w:rsid w:val="6BC93E2A"/>
    <w:rsid w:val="6C657D25"/>
    <w:rsid w:val="6C957E79"/>
    <w:rsid w:val="6CD3434B"/>
    <w:rsid w:val="6DC524D9"/>
    <w:rsid w:val="6E233F04"/>
    <w:rsid w:val="6EA14D48"/>
    <w:rsid w:val="6F4D54B9"/>
    <w:rsid w:val="6F6243BF"/>
    <w:rsid w:val="6F92465B"/>
    <w:rsid w:val="6FEA46EB"/>
    <w:rsid w:val="70183F3A"/>
    <w:rsid w:val="70BB4EE1"/>
    <w:rsid w:val="70BB7822"/>
    <w:rsid w:val="712C661A"/>
    <w:rsid w:val="71DC143E"/>
    <w:rsid w:val="72757E69"/>
    <w:rsid w:val="73335C84"/>
    <w:rsid w:val="736E2951"/>
    <w:rsid w:val="74220A9E"/>
    <w:rsid w:val="74B70600"/>
    <w:rsid w:val="74C370A4"/>
    <w:rsid w:val="75015296"/>
    <w:rsid w:val="75EB7505"/>
    <w:rsid w:val="769940C7"/>
    <w:rsid w:val="785A3E6D"/>
    <w:rsid w:val="78FA4366"/>
    <w:rsid w:val="79573A5D"/>
    <w:rsid w:val="7A746758"/>
    <w:rsid w:val="7ACB2A1A"/>
    <w:rsid w:val="7AE20B61"/>
    <w:rsid w:val="7B35736C"/>
    <w:rsid w:val="7B787183"/>
    <w:rsid w:val="7BAA5F88"/>
    <w:rsid w:val="7DD438F6"/>
    <w:rsid w:val="7E113322"/>
    <w:rsid w:val="7E42412C"/>
    <w:rsid w:val="7E664CD8"/>
    <w:rsid w:val="7EA22C5E"/>
    <w:rsid w:val="7EC7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eastAsia="黑体"/>
      <w:b/>
      <w:bCs/>
      <w:kern w:val="44"/>
      <w:sz w:val="44"/>
      <w:szCs w:val="44"/>
    </w:rPr>
  </w:style>
  <w:style w:type="paragraph" w:styleId="6">
    <w:name w:val="heading 2"/>
    <w:basedOn w:val="1"/>
    <w:next w:val="4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napToGrid w:val="0"/>
      <w:spacing w:line="360" w:lineRule="auto"/>
      <w:ind w:firstLine="420" w:firstLineChars="200"/>
    </w:pPr>
    <w:rPr>
      <w:rFonts w:ascii="Times New Roman"/>
      <w:kern w:val="2"/>
      <w:sz w:val="21"/>
      <w:szCs w:val="24"/>
    </w:rPr>
  </w:style>
  <w:style w:type="paragraph" w:customStyle="1" w:styleId="4">
    <w:name w:val="正文缩进2字符"/>
    <w:basedOn w:val="5"/>
    <w:qFormat/>
    <w:uiPriority w:val="0"/>
    <w:pPr>
      <w:ind w:firstLine="480" w:firstLineChars="200"/>
    </w:pPr>
  </w:style>
  <w:style w:type="paragraph" w:customStyle="1" w:styleId="5">
    <w:name w:val="样式 正文文本缩进 + 左  0 字符"/>
    <w:basedOn w:val="2"/>
    <w:qFormat/>
    <w:uiPriority w:val="0"/>
    <w:pPr>
      <w:spacing w:after="0"/>
      <w:ind w:left="0" w:leftChars="0" w:firstLine="250" w:firstLineChars="250"/>
    </w:pPr>
    <w:rPr>
      <w:rFonts w:cs="宋体"/>
      <w:szCs w:val="20"/>
    </w:rPr>
  </w:style>
  <w:style w:type="paragraph" w:styleId="7">
    <w:name w:val="Body Text"/>
    <w:basedOn w:val="1"/>
    <w:next w:val="1"/>
    <w:unhideWhenUsed/>
    <w:qFormat/>
    <w:uiPriority w:val="0"/>
    <w:rPr>
      <w:rFonts w:eastAsia="宋体"/>
      <w:sz w:val="30"/>
      <w:szCs w:val="24"/>
    </w:rPr>
  </w:style>
  <w:style w:type="paragraph" w:styleId="8">
    <w:name w:val="Balloon Text"/>
    <w:basedOn w:val="1"/>
    <w:unhideWhenUsed/>
    <w:qFormat/>
    <w:uiPriority w:val="0"/>
    <w:rPr>
      <w:rFonts w:ascii="Calibri" w:hAnsi="Calibri" w:eastAsia="宋体"/>
      <w:sz w:val="18"/>
      <w:szCs w:val="18"/>
    </w:rPr>
  </w:style>
  <w:style w:type="paragraph" w:styleId="9">
    <w:name w:val="footer"/>
    <w:basedOn w:val="1"/>
    <w:next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0">
    <w:name w:val="索引 51"/>
    <w:basedOn w:val="1"/>
    <w:next w:val="1"/>
    <w:qFormat/>
    <w:uiPriority w:val="99"/>
    <w:pPr>
      <w:ind w:left="1680"/>
    </w:pPr>
  </w:style>
  <w:style w:type="paragraph" w:styleId="11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4">
    <w:name w:val="Strong"/>
    <w:basedOn w:val="13"/>
    <w:autoRedefine/>
    <w:qFormat/>
    <w:uiPriority w:val="0"/>
    <w:rPr>
      <w:b/>
    </w:rPr>
  </w:style>
  <w:style w:type="paragraph" w:styleId="15">
    <w:name w:val="List Paragraph"/>
    <w:basedOn w:val="1"/>
    <w:autoRedefine/>
    <w:qFormat/>
    <w:uiPriority w:val="34"/>
    <w:pPr>
      <w:widowControl/>
      <w:overflowPunct w:val="0"/>
      <w:autoSpaceDE w:val="0"/>
      <w:autoSpaceDN w:val="0"/>
      <w:adjustRightInd w:val="0"/>
      <w:spacing w:beforeLines="50"/>
      <w:ind w:firstLine="420" w:firstLineChars="200"/>
      <w:jc w:val="left"/>
      <w:textAlignment w:val="baseline"/>
    </w:pPr>
    <w:rPr>
      <w:rFonts w:ascii="MS Sans Serif" w:hAnsi="MS Sans Serif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5055</Words>
  <Characters>5161</Characters>
  <Lines>0</Lines>
  <Paragraphs>0</Paragraphs>
  <TotalTime>4</TotalTime>
  <ScaleCrop>false</ScaleCrop>
  <LinksUpToDate>false</LinksUpToDate>
  <CharactersWithSpaces>5183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2025-03-07T01:57:00Z</dcterms:created>
  <dc:creator>Jesse</dc:creator>
  <cp:lastModifiedBy>朱洪风</cp:lastModifiedBy>
  <dcterms:modified xsi:type="dcterms:W3CDTF">2026-06-12T08:19:38Z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43AC5D3DDFD2460FA250A65572DEB9FA_13</vt:lpwstr>
  </property>
  <property fmtid="{D5CDD505-2E9C-101B-9397-08002B2CF9AE}" pid="4" name="KSOTemplateDocerSaveRecord">
    <vt:lpwstr>eyJoZGlkIjoiZjFmZWIzNDg2MmIzZjExOTIzMmViNTBmYTMwYTk0ZWYiLCJ1c2VySWQiOiIxMjA1MTc5ODAxIn0=</vt:lpwstr>
  </property>
</Properties>
</file>