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jc w:val="center"/>
        <w:rPr>
          <w:rFonts w:hint="eastAsia" w:ascii="宋体" w:hAnsi="宋体" w:eastAsia="宋体"/>
          <w:b/>
          <w:bCs/>
          <w:color w:val="auto"/>
          <w:sz w:val="32"/>
          <w:szCs w:val="32"/>
        </w:rPr>
      </w:pPr>
      <w:r>
        <w:rPr>
          <w:rFonts w:hint="eastAsia" w:ascii="宋体" w:hAnsi="宋体" w:eastAsia="宋体"/>
          <w:b/>
          <w:bCs/>
          <w:color w:val="auto"/>
          <w:sz w:val="32"/>
          <w:szCs w:val="32"/>
        </w:rPr>
        <w:t>PACS系统维护服务需求</w:t>
      </w:r>
    </w:p>
    <w:p>
      <w:pPr>
        <w:pStyle w:val="7"/>
        <w:numPr>
          <w:ilvl w:val="0"/>
          <w:numId w:val="1"/>
        </w:numPr>
        <w:spacing w:line="360" w:lineRule="auto"/>
        <w:rPr>
          <w:rFonts w:hint="eastAsia" w:ascii="宋体" w:hAnsi="宋体" w:eastAsia="宋体"/>
          <w:b/>
          <w:bCs/>
        </w:rPr>
      </w:pPr>
      <w:r>
        <w:rPr>
          <w:rFonts w:hint="eastAsia" w:ascii="宋体" w:hAnsi="宋体" w:eastAsia="宋体"/>
          <w:b/>
          <w:bCs/>
        </w:rPr>
        <w:t>服务内容</w:t>
      </w:r>
    </w:p>
    <w:p>
      <w:pPr>
        <w:spacing w:line="360" w:lineRule="auto"/>
        <w:rPr>
          <w:rFonts w:hint="eastAsia" w:ascii="宋体" w:hAnsi="宋体" w:eastAsia="宋体"/>
          <w:b/>
          <w:bCs/>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（一）定期维护服务</w:t>
      </w:r>
    </w:p>
    <w:p>
      <w:pPr>
        <w:spacing w:line="360" w:lineRule="auto"/>
        <w:ind w:firstLine="420" w:firstLineChars="200"/>
        <w:rPr>
          <w:rFonts w:hint="eastAsia"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在维护服务期间，供应商向医院提供2次定期巡检服务。定期巡检服务在工作时间（星期一至星期五，8:30-17:30，下同）在系统所在地进行，具体时间由双方另行确定，服务内容包括：</w:t>
      </w:r>
    </w:p>
    <w:p>
      <w:pPr>
        <w:pStyle w:val="7"/>
        <w:numPr>
          <w:ilvl w:val="0"/>
          <w:numId w:val="2"/>
        </w:numPr>
        <w:spacing w:line="360" w:lineRule="auto"/>
        <w:rPr>
          <w:rFonts w:hint="eastAsia" w:ascii="宋体" w:hAnsi="宋体" w:eastAsia="宋体"/>
          <w:color w:val="000000" w:themeColor="text1"/>
          <w:highlight w:val="none"/>
          <w14:textFill>
            <w14:solidFill>
              <w14:schemeClr w14:val="tx1"/>
            </w14:solidFill>
          </w14:textFill>
        </w:rPr>
      </w:pPr>
      <w:r>
        <w:rPr>
          <w:rFonts w:ascii="宋体" w:hAnsi="宋体" w:eastAsia="宋体"/>
          <w:color w:val="000000" w:themeColor="text1"/>
          <w:highlight w:val="none"/>
          <w14:textFill>
            <w14:solidFill>
              <w14:schemeClr w14:val="tx1"/>
            </w14:solidFill>
          </w14:textFill>
        </w:rPr>
        <w:t>服务器运行情况查看，是否有硬件报错信息，是否有系统日志及应用程序日志报错。</w:t>
      </w:r>
    </w:p>
    <w:p>
      <w:pPr>
        <w:pStyle w:val="7"/>
        <w:numPr>
          <w:ilvl w:val="0"/>
          <w:numId w:val="2"/>
        </w:numPr>
        <w:spacing w:line="360" w:lineRule="auto"/>
        <w:rPr>
          <w:rFonts w:hint="eastAsia" w:ascii="宋体" w:hAnsi="宋体" w:eastAsia="宋体"/>
          <w:color w:val="000000" w:themeColor="text1"/>
          <w:highlight w:val="none"/>
          <w14:textFill>
            <w14:solidFill>
              <w14:schemeClr w14:val="tx1"/>
            </w14:solidFill>
          </w14:textFill>
        </w:rPr>
      </w:pPr>
      <w:r>
        <w:rPr>
          <w:rFonts w:ascii="宋体" w:hAnsi="宋体" w:eastAsia="宋体"/>
          <w:color w:val="000000" w:themeColor="text1"/>
          <w:highlight w:val="none"/>
          <w14:textFill>
            <w14:solidFill>
              <w14:schemeClr w14:val="tx1"/>
            </w14:solidFill>
          </w14:textFill>
        </w:rPr>
        <w:t>查看存储容量状况，察看剩余磁盘空间，计算剩余可用日期。</w:t>
      </w:r>
    </w:p>
    <w:p>
      <w:pPr>
        <w:pStyle w:val="7"/>
        <w:numPr>
          <w:ilvl w:val="0"/>
          <w:numId w:val="2"/>
        </w:numPr>
        <w:spacing w:line="360" w:lineRule="auto"/>
        <w:rPr>
          <w:rFonts w:hint="eastAsia" w:ascii="宋体" w:hAnsi="宋体" w:eastAsia="宋体"/>
          <w:color w:val="000000" w:themeColor="text1"/>
          <w:highlight w:val="none"/>
          <w14:textFill>
            <w14:solidFill>
              <w14:schemeClr w14:val="tx1"/>
            </w14:solidFill>
          </w14:textFill>
        </w:rPr>
      </w:pPr>
      <w:r>
        <w:rPr>
          <w:rFonts w:ascii="宋体" w:hAnsi="宋体" w:eastAsia="宋体"/>
          <w:color w:val="000000" w:themeColor="text1"/>
          <w:highlight w:val="none"/>
          <w14:textFill>
            <w14:solidFill>
              <w14:schemeClr w14:val="tx1"/>
            </w14:solidFill>
          </w14:textFill>
        </w:rPr>
        <w:t>查看数据库备份情况，包括DICOM数据库和RIS数据库。</w:t>
      </w:r>
    </w:p>
    <w:p>
      <w:pPr>
        <w:pStyle w:val="7"/>
        <w:numPr>
          <w:ilvl w:val="0"/>
          <w:numId w:val="2"/>
        </w:numPr>
        <w:spacing w:line="360" w:lineRule="auto"/>
        <w:rPr>
          <w:rFonts w:hint="eastAsia" w:ascii="宋体" w:hAnsi="宋体" w:eastAsia="宋体"/>
          <w:color w:val="000000" w:themeColor="text1"/>
          <w:highlight w:val="none"/>
          <w14:textFill>
            <w14:solidFill>
              <w14:schemeClr w14:val="tx1"/>
            </w14:solidFill>
          </w14:textFill>
        </w:rPr>
      </w:pPr>
      <w:r>
        <w:rPr>
          <w:rFonts w:ascii="宋体" w:hAnsi="宋体" w:eastAsia="宋体"/>
          <w:color w:val="000000" w:themeColor="text1"/>
          <w:highlight w:val="none"/>
          <w14:textFill>
            <w14:solidFill>
              <w14:schemeClr w14:val="tx1"/>
            </w14:solidFill>
          </w14:textFill>
        </w:rPr>
        <w:t>查看高峰期DICOM服务内存占用情况和CP</w:t>
      </w:r>
      <w:bookmarkStart w:id="0" w:name="_GoBack"/>
      <w:bookmarkEnd w:id="0"/>
      <w:r>
        <w:rPr>
          <w:rFonts w:ascii="宋体" w:hAnsi="宋体" w:eastAsia="宋体"/>
          <w:color w:val="000000" w:themeColor="text1"/>
          <w:highlight w:val="none"/>
          <w14:textFill>
            <w14:solidFill>
              <w14:schemeClr w14:val="tx1"/>
            </w14:solidFill>
          </w14:textFill>
        </w:rPr>
        <w:t>U占用情况，并在需要时重启服务。</w:t>
      </w:r>
    </w:p>
    <w:p>
      <w:pPr>
        <w:pStyle w:val="7"/>
        <w:numPr>
          <w:ilvl w:val="0"/>
          <w:numId w:val="2"/>
        </w:numPr>
        <w:spacing w:line="360" w:lineRule="auto"/>
        <w:rPr>
          <w:rFonts w:hint="eastAsia" w:ascii="宋体" w:hAnsi="宋体" w:eastAsia="宋体"/>
          <w:color w:val="000000" w:themeColor="text1"/>
          <w:highlight w:val="none"/>
          <w14:textFill>
            <w14:solidFill>
              <w14:schemeClr w14:val="tx1"/>
            </w14:solidFill>
          </w14:textFill>
        </w:rPr>
      </w:pPr>
      <w:r>
        <w:rPr>
          <w:rFonts w:ascii="宋体" w:hAnsi="宋体" w:eastAsia="宋体"/>
          <w:color w:val="000000" w:themeColor="text1"/>
          <w:highlight w:val="none"/>
          <w14:textFill>
            <w14:solidFill>
              <w14:schemeClr w14:val="tx1"/>
            </w14:solidFill>
          </w14:textFill>
        </w:rPr>
        <w:t>查看和测试影像调阅速度。</w:t>
      </w:r>
    </w:p>
    <w:p>
      <w:pPr>
        <w:pStyle w:val="7"/>
        <w:numPr>
          <w:ilvl w:val="0"/>
          <w:numId w:val="2"/>
        </w:numPr>
        <w:spacing w:line="360" w:lineRule="auto"/>
        <w:rPr>
          <w:rFonts w:hint="eastAsia" w:ascii="宋体" w:hAnsi="宋体" w:eastAsia="宋体"/>
          <w:color w:val="000000" w:themeColor="text1"/>
          <w:highlight w:val="none"/>
          <w14:textFill>
            <w14:solidFill>
              <w14:schemeClr w14:val="tx1"/>
            </w14:solidFill>
          </w14:textFill>
        </w:rPr>
      </w:pPr>
      <w:r>
        <w:rPr>
          <w:rFonts w:ascii="宋体" w:hAnsi="宋体" w:eastAsia="宋体"/>
          <w:color w:val="000000" w:themeColor="text1"/>
          <w:highlight w:val="none"/>
          <w14:textFill>
            <w14:solidFill>
              <w14:schemeClr w14:val="tx1"/>
            </w14:solidFill>
          </w14:textFill>
        </w:rPr>
        <w:t>查看服务器定期重启情况。</w:t>
      </w:r>
    </w:p>
    <w:p>
      <w:pPr>
        <w:spacing w:line="360" w:lineRule="auto"/>
        <w:rPr>
          <w:rFonts w:hint="eastAsia" w:ascii="宋体" w:hAnsi="宋体" w:eastAsia="宋体"/>
          <w:b/>
          <w:bCs/>
          <w:color w:val="000000" w:themeColor="text1"/>
          <w:highlight w:val="none"/>
          <w14:textFill>
            <w14:solidFill>
              <w14:schemeClr w14:val="tx1"/>
            </w14:solidFill>
          </w14:textFill>
        </w:rPr>
      </w:pPr>
      <w:r>
        <w:rPr>
          <w:rFonts w:hint="eastAsia" w:ascii="宋体" w:hAnsi="宋体" w:eastAsia="宋体"/>
          <w:b/>
          <w:bCs/>
          <w:color w:val="000000" w:themeColor="text1"/>
          <w:highlight w:val="none"/>
          <w14:textFill>
            <w14:solidFill>
              <w14:schemeClr w14:val="tx1"/>
            </w14:solidFill>
          </w14:textFill>
        </w:rPr>
        <w:t>（二）日常报修服务</w:t>
      </w:r>
    </w:p>
    <w:p>
      <w:pPr>
        <w:spacing w:line="360" w:lineRule="auto"/>
        <w:ind w:firstLine="420" w:firstLineChars="200"/>
        <w:rPr>
          <w:rFonts w:hint="eastAsia" w:ascii="宋体" w:hAnsi="宋体" w:eastAsia="宋体"/>
          <w:color w:val="000000" w:themeColor="text1"/>
          <w:highlight w:val="none"/>
          <w14:textFill>
            <w14:solidFill>
              <w14:schemeClr w14:val="tx1"/>
            </w14:solidFill>
          </w14:textFill>
        </w:rPr>
      </w:pPr>
      <w:r>
        <w:rPr>
          <w:rFonts w:ascii="宋体" w:hAnsi="宋体" w:eastAsia="宋体"/>
          <w:color w:val="000000" w:themeColor="text1"/>
          <w:highlight w:val="none"/>
          <w14:textFill>
            <w14:solidFill>
              <w14:schemeClr w14:val="tx1"/>
            </w14:solidFill>
          </w14:textFill>
        </w:rPr>
        <w:t>在接到</w:t>
      </w:r>
      <w:r>
        <w:rPr>
          <w:rFonts w:hint="eastAsia" w:ascii="宋体" w:hAnsi="宋体" w:eastAsia="宋体"/>
          <w:color w:val="000000" w:themeColor="text1"/>
          <w:highlight w:val="none"/>
          <w14:textFill>
            <w14:solidFill>
              <w14:schemeClr w14:val="tx1"/>
            </w14:solidFill>
          </w14:textFill>
        </w:rPr>
        <w:t>医院</w:t>
      </w:r>
      <w:r>
        <w:rPr>
          <w:rFonts w:ascii="宋体" w:hAnsi="宋体" w:eastAsia="宋体"/>
          <w:color w:val="000000" w:themeColor="text1"/>
          <w:highlight w:val="none"/>
          <w14:textFill>
            <w14:solidFill>
              <w14:schemeClr w14:val="tx1"/>
            </w14:solidFill>
          </w14:textFill>
        </w:rPr>
        <w:t>报修电话后，优先通过电话、远程的方式进行故障处理；若电话、远程方式无法解决问题，则安排人员到现场处理。具体服务内容如下：</w:t>
      </w:r>
    </w:p>
    <w:p>
      <w:pPr>
        <w:spacing w:line="360" w:lineRule="auto"/>
        <w:ind w:firstLine="420" w:firstLineChars="200"/>
        <w:rPr>
          <w:rFonts w:hint="eastAsia"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技术支持：提供与系统</w:t>
      </w:r>
      <w:r>
        <w:rPr>
          <w:rFonts w:ascii="宋体" w:hAnsi="宋体" w:eastAsia="宋体"/>
          <w:color w:val="000000" w:themeColor="text1"/>
          <w:highlight w:val="none"/>
          <w14:textFill>
            <w14:solidFill>
              <w14:schemeClr w14:val="tx1"/>
            </w14:solidFill>
          </w14:textFill>
        </w:rPr>
        <w:t>相关的故障及问题的技术支持，协助用户解决各类技术难题，确保系统稳定运行。</w:t>
      </w:r>
    </w:p>
    <w:p>
      <w:pPr>
        <w:spacing w:line="360" w:lineRule="auto"/>
        <w:ind w:firstLine="420" w:firstLineChars="200"/>
        <w:rPr>
          <w:rFonts w:hint="eastAsia"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日常服务指导：在工作日内为用户提供电话指导、远程服务指导服务，及时解答用户在系统使用过程中遇到的问题，提升用户系统操作和管理能力。</w:t>
      </w:r>
    </w:p>
    <w:p>
      <w:pPr>
        <w:spacing w:line="360" w:lineRule="auto"/>
        <w:ind w:firstLine="420" w:firstLineChars="200"/>
        <w:rPr>
          <w:rFonts w:hint="eastAsia"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故障排除：通过电话、远程的方式，快速诊断并排除用户在正常使用过程中发生的故障，提高故障处理效率。</w:t>
      </w:r>
    </w:p>
    <w:p>
      <w:pPr>
        <w:spacing w:line="360" w:lineRule="auto"/>
        <w:rPr>
          <w:rFonts w:hint="eastAsia" w:ascii="宋体" w:hAnsi="宋体" w:eastAsia="宋体"/>
          <w:b/>
          <w:bCs/>
          <w:color w:val="000000" w:themeColor="text1"/>
          <w:highlight w:val="none"/>
          <w14:textFill>
            <w14:solidFill>
              <w14:schemeClr w14:val="tx1"/>
            </w14:solidFill>
          </w14:textFill>
        </w:rPr>
      </w:pPr>
      <w:r>
        <w:rPr>
          <w:rFonts w:hint="eastAsia" w:ascii="宋体" w:hAnsi="宋体" w:eastAsia="宋体"/>
          <w:b/>
          <w:bCs/>
          <w:color w:val="000000" w:themeColor="text1"/>
          <w:highlight w:val="none"/>
          <w14:textFill>
            <w14:solidFill>
              <w14:schemeClr w14:val="tx1"/>
            </w14:solidFill>
          </w14:textFill>
        </w:rPr>
        <w:t>（三）特殊情况保障服务（365天×24小时）：</w:t>
      </w:r>
    </w:p>
    <w:p>
      <w:pPr>
        <w:spacing w:line="360" w:lineRule="auto"/>
        <w:ind w:firstLine="420" w:firstLineChars="200"/>
        <w:rPr>
          <w:rFonts w:hint="eastAsia"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1、当医院出现重大系统异常，导致系统不能正常运行时（无论该故障是否与中标方有关），在接到报修电话30分钟内作出响应，4小时内赶到现场，配合诊断并进行处理。若属于院方故障，供应商应组织不少于2位的高级技术人员（或者由我院指定）解决问题。</w:t>
      </w:r>
    </w:p>
    <w:p>
      <w:pPr>
        <w:spacing w:line="360" w:lineRule="auto"/>
        <w:ind w:firstLine="420" w:firstLineChars="200"/>
        <w:rPr>
          <w:rFonts w:hint="eastAsia" w:ascii="宋体" w:hAnsi="宋体" w:eastAsia="宋体"/>
          <w:highlight w:val="none"/>
        </w:rPr>
      </w:pPr>
      <w:r>
        <w:rPr>
          <w:rFonts w:hint="eastAsia" w:ascii="宋体" w:hAnsi="宋体" w:eastAsia="宋体"/>
          <w:highlight w:val="none"/>
        </w:rPr>
        <w:t>2、提供重要时刻的专人支持服务，包括医院的重大会议期间或其它用户认为可能对其业务运营产生重大影响的时刻（全年不超过30</w:t>
      </w:r>
      <w:r>
        <w:rPr>
          <w:rFonts w:hint="eastAsia" w:ascii="宋体" w:hAnsi="宋体" w:eastAsia="宋体"/>
          <w:highlight w:val="none"/>
          <w:lang w:val="en-US" w:eastAsia="zh-CN"/>
        </w:rPr>
        <w:t>天</w:t>
      </w:r>
      <w:r>
        <w:rPr>
          <w:rFonts w:hint="eastAsia" w:ascii="宋体" w:hAnsi="宋体" w:eastAsia="宋体"/>
          <w:highlight w:val="none"/>
        </w:rPr>
        <w:t>）。</w:t>
      </w:r>
    </w:p>
    <w:p>
      <w:pPr>
        <w:spacing w:line="360" w:lineRule="auto"/>
        <w:rPr>
          <w:rFonts w:hint="eastAsia" w:ascii="宋体" w:hAnsi="宋体" w:eastAsia="宋体"/>
          <w:highlight w:val="none"/>
        </w:rPr>
      </w:pPr>
    </w:p>
    <w:p>
      <w:pPr>
        <w:pStyle w:val="7"/>
        <w:numPr>
          <w:ilvl w:val="0"/>
          <w:numId w:val="1"/>
        </w:numPr>
        <w:spacing w:line="360" w:lineRule="auto"/>
        <w:rPr>
          <w:rFonts w:hint="eastAsia" w:ascii="宋体" w:hAnsi="宋体" w:eastAsia="宋体"/>
          <w:b/>
          <w:bCs/>
          <w:highlight w:val="none"/>
        </w:rPr>
      </w:pPr>
      <w:r>
        <w:rPr>
          <w:rFonts w:hint="eastAsia" w:ascii="宋体" w:hAnsi="宋体" w:eastAsia="宋体"/>
          <w:b/>
          <w:bCs/>
          <w:highlight w:val="none"/>
        </w:rPr>
        <w:t>响应时间</w:t>
      </w:r>
    </w:p>
    <w:p>
      <w:pPr>
        <w:spacing w:line="360" w:lineRule="auto"/>
        <w:ind w:firstLine="420" w:firstLineChars="200"/>
        <w:rPr>
          <w:rFonts w:hint="eastAsia" w:ascii="宋体" w:hAnsi="宋体" w:eastAsia="宋体"/>
          <w:highlight w:val="none"/>
        </w:rPr>
      </w:pPr>
      <w:r>
        <w:rPr>
          <w:rFonts w:hint="eastAsia" w:ascii="宋体" w:hAnsi="宋体" w:eastAsia="宋体"/>
          <w:highlight w:val="none"/>
        </w:rPr>
        <w:t>日常报修服务需严格执行</w:t>
      </w:r>
      <w:r>
        <w:rPr>
          <w:rFonts w:ascii="宋体" w:hAnsi="宋体" w:eastAsia="宋体"/>
          <w:highlight w:val="none"/>
        </w:rPr>
        <w:t>7</w:t>
      </w:r>
      <w:r>
        <w:rPr>
          <w:rFonts w:hint="eastAsia" w:ascii="宋体" w:hAnsi="宋体" w:eastAsia="宋体"/>
          <w:b/>
          <w:bCs/>
          <w:highlight w:val="none"/>
        </w:rPr>
        <w:t>×</w:t>
      </w:r>
      <w:r>
        <w:rPr>
          <w:rFonts w:ascii="宋体" w:hAnsi="宋体" w:eastAsia="宋体"/>
          <w:highlight w:val="none"/>
        </w:rPr>
        <w:t>24小时响应机制，接到故障通知后</w:t>
      </w:r>
      <w:r>
        <w:rPr>
          <w:rFonts w:hint="eastAsia" w:ascii="宋体" w:hAnsi="宋体" w:eastAsia="宋体"/>
          <w:highlight w:val="none"/>
        </w:rPr>
        <w:t>30分钟内</w:t>
      </w:r>
      <w:r>
        <w:rPr>
          <w:rFonts w:ascii="宋体" w:hAnsi="宋体" w:eastAsia="宋体"/>
          <w:highlight w:val="none"/>
        </w:rPr>
        <w:t>响应。对于电话或远程无法解决的问题，</w:t>
      </w:r>
      <w:r>
        <w:rPr>
          <w:rFonts w:hint="eastAsia" w:ascii="宋体" w:hAnsi="宋体" w:eastAsia="宋体"/>
          <w:highlight w:val="none"/>
        </w:rPr>
        <w:t>供应商</w:t>
      </w:r>
      <w:r>
        <w:rPr>
          <w:rFonts w:ascii="宋体" w:hAnsi="宋体" w:eastAsia="宋体"/>
          <w:highlight w:val="none"/>
        </w:rPr>
        <w:t>需在</w:t>
      </w:r>
      <w:r>
        <w:rPr>
          <w:rFonts w:hint="eastAsia" w:ascii="宋体" w:hAnsi="宋体" w:eastAsia="宋体"/>
          <w:highlight w:val="none"/>
        </w:rPr>
        <w:t>4小时</w:t>
      </w:r>
      <w:r>
        <w:rPr>
          <w:rFonts w:ascii="宋体" w:hAnsi="宋体" w:eastAsia="宋体"/>
          <w:highlight w:val="none"/>
        </w:rPr>
        <w:t>内到达现场处理，以保障系统故障能够得到及时解决。</w:t>
      </w:r>
    </w:p>
    <w:p>
      <w:pPr>
        <w:pStyle w:val="7"/>
        <w:numPr>
          <w:ilvl w:val="0"/>
          <w:numId w:val="1"/>
        </w:numPr>
        <w:spacing w:line="360" w:lineRule="auto"/>
        <w:rPr>
          <w:rFonts w:hint="eastAsia" w:ascii="宋体" w:hAnsi="宋体" w:eastAsia="宋体"/>
          <w:b/>
          <w:bCs/>
          <w:highlight w:val="none"/>
        </w:rPr>
      </w:pPr>
      <w:r>
        <w:rPr>
          <w:rFonts w:hint="eastAsia" w:ascii="宋体" w:hAnsi="宋体" w:eastAsia="宋体"/>
          <w:b/>
          <w:bCs/>
          <w:highlight w:val="none"/>
        </w:rPr>
        <w:t>其他要求</w:t>
      </w:r>
    </w:p>
    <w:p>
      <w:pPr>
        <w:spacing w:line="360" w:lineRule="auto"/>
        <w:ind w:firstLine="420" w:firstLineChars="200"/>
        <w:rPr>
          <w:rFonts w:hint="eastAsia" w:ascii="宋体" w:hAnsi="宋体" w:eastAsia="宋体"/>
          <w:highlight w:val="none"/>
        </w:rPr>
      </w:pPr>
      <w:r>
        <w:rPr>
          <w:rFonts w:hint="eastAsia" w:ascii="宋体" w:hAnsi="宋体" w:eastAsia="宋体"/>
          <w:highlight w:val="none"/>
        </w:rPr>
        <w:t>保密要求：需严格遵守保密协议，对服务过程中涉及的医院及患者信息严格保密，不得向任何第三方泄露。</w:t>
      </w:r>
    </w:p>
    <w:p>
      <w:pPr>
        <w:pStyle w:val="7"/>
        <w:numPr>
          <w:ilvl w:val="0"/>
          <w:numId w:val="1"/>
        </w:numPr>
        <w:spacing w:line="360" w:lineRule="auto"/>
        <w:rPr>
          <w:rFonts w:hint="eastAsia" w:ascii="宋体" w:hAnsi="宋体" w:eastAsia="宋体"/>
          <w:b/>
          <w:bCs/>
        </w:rPr>
      </w:pPr>
      <w:r>
        <w:rPr>
          <w:rFonts w:hint="eastAsia" w:ascii="宋体" w:hAnsi="宋体" w:eastAsia="宋体"/>
          <w:b/>
          <w:bCs/>
          <w:lang w:val="en-US" w:eastAsia="zh-CN"/>
        </w:rPr>
        <w:t>服务期</w:t>
      </w:r>
    </w:p>
    <w:p>
      <w:pPr>
        <w:ind w:firstLine="422" w:firstLineChars="200"/>
        <w:rPr>
          <w:rFonts w:hint="eastAsia" w:ascii="宋体" w:hAnsi="宋体" w:eastAsia="宋体"/>
          <w:b/>
          <w:bCs/>
          <w:lang w:val="en-US" w:eastAsia="zh-CN"/>
        </w:rPr>
      </w:pPr>
      <w:r>
        <w:rPr>
          <w:rFonts w:hint="eastAsia" w:ascii="宋体" w:hAnsi="宋体" w:eastAsia="宋体"/>
          <w:b/>
          <w:bCs/>
          <w:lang w:val="en-US" w:eastAsia="zh-CN"/>
        </w:rPr>
        <w:t>服务期限：三年。</w:t>
      </w:r>
    </w:p>
    <w:p>
      <w:pPr>
        <w:pStyle w:val="7"/>
        <w:numPr>
          <w:ilvl w:val="0"/>
          <w:numId w:val="1"/>
        </w:numPr>
        <w:spacing w:line="360" w:lineRule="auto"/>
        <w:rPr>
          <w:rFonts w:hint="eastAsia" w:ascii="宋体" w:hAnsi="宋体" w:eastAsia="宋体"/>
          <w:b/>
          <w:bCs/>
        </w:rPr>
      </w:pPr>
      <w:r>
        <w:rPr>
          <w:rFonts w:hint="eastAsia" w:ascii="宋体" w:hAnsi="宋体" w:eastAsia="宋体"/>
          <w:b/>
          <w:bCs/>
          <w:lang w:val="en-US" w:eastAsia="zh-CN"/>
        </w:rPr>
        <w:t>付款方式</w:t>
      </w:r>
    </w:p>
    <w:p>
      <w:pPr>
        <w:pageBreakBefore w:val="0"/>
        <w:widowControl w:val="0"/>
        <w:kinsoku/>
        <w:wordWrap/>
        <w:overflowPunct/>
        <w:topLinePunct w:val="0"/>
        <w:autoSpaceDE/>
        <w:autoSpaceDN/>
        <w:bidi w:val="0"/>
        <w:snapToGrid w:val="0"/>
        <w:spacing w:line="600" w:lineRule="exact"/>
        <w:ind w:firstLine="420" w:firstLineChars="200"/>
        <w:textAlignment w:val="auto"/>
        <w:rPr>
          <w:rFonts w:hint="default" w:ascii="方正仿宋_GBK" w:hAnsi="宋体" w:eastAsia="方正仿宋_GBK" w:cs="宋体"/>
          <w:b w:val="0"/>
          <w:bCs w:val="0"/>
          <w:color w:val="auto"/>
          <w:kern w:val="0"/>
          <w:sz w:val="24"/>
          <w:szCs w:val="24"/>
          <w:highlight w:val="none"/>
          <w:lang w:val="en-US" w:eastAsia="zh-CN"/>
        </w:rPr>
      </w:pPr>
      <w:r>
        <w:rPr>
          <w:rFonts w:hint="eastAsia" w:ascii="宋体" w:hAnsi="宋体" w:eastAsia="宋体"/>
          <w:b w:val="0"/>
          <w:bCs w:val="0"/>
          <w:lang w:val="en-US" w:eastAsia="zh-CN"/>
        </w:rPr>
        <w:t>1、支付方式：执行先服务后付费原则，服务期满1年为一个支付周期。</w:t>
      </w:r>
      <w:r>
        <w:rPr>
          <w:rFonts w:hint="eastAsia" w:ascii="宋体" w:hAnsi="宋体" w:eastAsia="宋体"/>
          <w:lang w:val="en-US" w:eastAsia="zh-CN"/>
        </w:rPr>
        <w:t>符合医院要求后由成交公司提交付款申请及等额的发票，医院于20个工作日内支付合同金额的三分之一。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426DB"/>
    <w:multiLevelType w:val="multilevel"/>
    <w:tmpl w:val="162426DB"/>
    <w:lvl w:ilvl="0" w:tentative="0">
      <w:start w:val="1"/>
      <w:numFmt w:val="chineseCountingThousand"/>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74397D66"/>
    <w:multiLevelType w:val="multilevel"/>
    <w:tmpl w:val="74397D66"/>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4F73E9"/>
    <w:rsid w:val="00676EC8"/>
    <w:rsid w:val="05287EF2"/>
    <w:rsid w:val="374F73E9"/>
    <w:rsid w:val="4F88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480" w:after="80"/>
      <w:outlineLvl w:val="0"/>
    </w:pPr>
    <w:rPr>
      <w:rFonts w:asciiTheme="majorHAnsi" w:hAnsiTheme="majorHAnsi" w:eastAsiaTheme="majorEastAsia" w:cstheme="majorBidi"/>
      <w:color w:val="2E75B6" w:themeColor="accent1" w:themeShade="BF"/>
      <w:sz w:val="48"/>
      <w:szCs w:val="48"/>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character" w:styleId="6">
    <w:name w:val="annotation reference"/>
    <w:basedOn w:val="5"/>
    <w:semiHidden/>
    <w:unhideWhenUsed/>
    <w:qFormat/>
    <w:uiPriority w:val="99"/>
    <w:rPr>
      <w:sz w:val="21"/>
      <w:szCs w:val="21"/>
    </w:r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2026-07-01T09:06:00Z</dcterms:created>
  <dc:creator>Administrator</dc:creator>
  <cp:lastModifiedBy>Administrator</cp:lastModifiedBy>
  <dcterms:modified xsi:type="dcterms:W3CDTF">2026-07-01T09:10:55Z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ies>
</file>