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ascii="方正黑体_GBK" w:hAnsi="宋体" w:eastAsia="方正黑体_GBK" w:cs="Times New Roman"/>
          <w:color w:val="000000" w:themeColor="text1"/>
          <w:spacing w:val="80"/>
          <w:sz w:val="112"/>
          <w:szCs w:val="112"/>
          <w14:textFill>
            <w14:solidFill>
              <w14:schemeClr w14:val="tx1"/>
            </w14:solidFill>
          </w14:textFill>
        </w:rPr>
      </w:pPr>
    </w:p>
    <w:p>
      <w:pPr>
        <w:jc w:val="center"/>
        <w:outlineLvl w:val="0"/>
        <w:rPr>
          <w:rFonts w:ascii="方正黑体_GBK" w:hAnsi="宋体" w:eastAsia="方正黑体_GBK" w:cs="Times New Roman"/>
          <w:color w:val="000000" w:themeColor="text1"/>
          <w:spacing w:val="80"/>
          <w:sz w:val="112"/>
          <w:szCs w:val="112"/>
          <w14:textFill>
            <w14:solidFill>
              <w14:schemeClr w14:val="tx1"/>
            </w14:solidFill>
          </w14:textFill>
        </w:rPr>
      </w:pPr>
      <w:r>
        <w:rPr>
          <w:rFonts w:hint="eastAsia" w:ascii="方正黑体_GBK" w:hAnsi="宋体" w:eastAsia="方正黑体_GBK" w:cs="方正黑体_GBK"/>
          <w:color w:val="000000" w:themeColor="text1"/>
          <w:spacing w:val="80"/>
          <w:sz w:val="112"/>
          <w:szCs w:val="112"/>
          <w:lang w:eastAsia="zh-CN"/>
          <w14:textFill>
            <w14:solidFill>
              <w14:schemeClr w14:val="tx1"/>
            </w14:solidFill>
          </w14:textFill>
        </w:rPr>
        <w:t>比价</w:t>
      </w:r>
      <w:r>
        <w:rPr>
          <w:rFonts w:hint="eastAsia" w:ascii="方正黑体_GBK" w:hAnsi="宋体" w:eastAsia="方正黑体_GBK" w:cs="方正黑体_GBK"/>
          <w:color w:val="000000" w:themeColor="text1"/>
          <w:spacing w:val="80"/>
          <w:sz w:val="112"/>
          <w:szCs w:val="112"/>
          <w14:textFill>
            <w14:solidFill>
              <w14:schemeClr w14:val="tx1"/>
            </w14:solidFill>
          </w14:textFill>
        </w:rPr>
        <w:t>文件</w:t>
      </w:r>
    </w:p>
    <w:p>
      <w:pPr>
        <w:spacing w:line="700" w:lineRule="exact"/>
        <w:jc w:val="center"/>
        <w:rPr>
          <w:rFonts w:ascii="黑体" w:eastAsia="黑体" w:cs="Times New Roman"/>
          <w:color w:val="auto"/>
          <w:sz w:val="32"/>
          <w:szCs w:val="32"/>
        </w:rPr>
      </w:pPr>
      <w:r>
        <w:rPr>
          <w:rFonts w:hint="eastAsia" w:ascii="黑体" w:eastAsia="黑体" w:cs="黑体"/>
          <w:color w:val="000000" w:themeColor="text1"/>
          <w:sz w:val="32"/>
          <w:szCs w:val="32"/>
          <w14:textFill>
            <w14:solidFill>
              <w14:schemeClr w14:val="tx1"/>
            </w14:solidFill>
          </w14:textFill>
        </w:rPr>
        <w:t>（项目编号：</w:t>
      </w:r>
      <w:r>
        <w:rPr>
          <w:rFonts w:ascii="黑体" w:eastAsia="黑体" w:cs="黑体"/>
          <w:color w:val="000000" w:themeColor="text1"/>
          <w:sz w:val="32"/>
          <w:szCs w:val="32"/>
          <w14:textFill>
            <w14:solidFill>
              <w14:schemeClr w14:val="tx1"/>
            </w14:solidFill>
          </w14:textFill>
        </w:rPr>
        <w:t>BNQHXYY20</w:t>
      </w:r>
      <w:r>
        <w:rPr>
          <w:rFonts w:hint="eastAsia" w:ascii="黑体" w:eastAsia="黑体" w:cs="黑体"/>
          <w:color w:val="000000" w:themeColor="text1"/>
          <w:sz w:val="32"/>
          <w:szCs w:val="32"/>
          <w:lang w:val="en-US" w:eastAsia="zh-CN"/>
          <w14:textFill>
            <w14:solidFill>
              <w14:schemeClr w14:val="tx1"/>
            </w14:solidFill>
          </w14:textFill>
        </w:rPr>
        <w:t>26</w:t>
      </w:r>
      <w:r>
        <w:rPr>
          <w:rFonts w:hint="eastAsia" w:ascii="黑体" w:eastAsia="黑体" w:cs="黑体"/>
          <w:color w:val="auto"/>
          <w:sz w:val="32"/>
          <w:szCs w:val="32"/>
          <w:lang w:val="en-US" w:eastAsia="zh-CN"/>
        </w:rPr>
        <w:t>044</w:t>
      </w:r>
      <w:r>
        <w:rPr>
          <w:rFonts w:hint="eastAsia" w:ascii="黑体" w:eastAsia="黑体" w:cs="黑体"/>
          <w:color w:val="auto"/>
          <w:sz w:val="32"/>
          <w:szCs w:val="32"/>
        </w:rPr>
        <w:t>）</w:t>
      </w:r>
    </w:p>
    <w:p>
      <w:pPr>
        <w:spacing w:line="700" w:lineRule="exact"/>
        <w:jc w:val="center"/>
        <w:rPr>
          <w:rFonts w:ascii="黑体" w:eastAsia="黑体" w:cs="Times New Roman"/>
          <w:color w:val="auto"/>
          <w:sz w:val="32"/>
          <w:szCs w:val="32"/>
        </w:rPr>
      </w:pPr>
    </w:p>
    <w:p>
      <w:pPr>
        <w:spacing w:line="700" w:lineRule="exact"/>
        <w:jc w:val="center"/>
        <w:rPr>
          <w:rFonts w:ascii="黑体" w:eastAsia="黑体" w:cs="Times New Roman"/>
          <w:color w:val="auto"/>
          <w:sz w:val="32"/>
          <w:szCs w:val="32"/>
        </w:rPr>
      </w:pPr>
    </w:p>
    <w:p>
      <w:pPr>
        <w:spacing w:line="700" w:lineRule="exact"/>
        <w:ind w:firstLine="1749" w:firstLineChars="486"/>
        <w:rPr>
          <w:rFonts w:ascii="方正小标宋_GBK" w:hAnsi="宋体" w:eastAsia="方正小标宋_GBK" w:cs="Times New Roman"/>
          <w:color w:val="auto"/>
          <w:sz w:val="36"/>
          <w:szCs w:val="36"/>
        </w:rPr>
      </w:pPr>
    </w:p>
    <w:p>
      <w:pPr>
        <w:spacing w:line="700" w:lineRule="exact"/>
        <w:ind w:firstLine="1749" w:firstLineChars="486"/>
        <w:rPr>
          <w:rFonts w:ascii="方正小标宋_GBK" w:hAnsi="宋体" w:eastAsia="方正小标宋_GBK" w:cs="Times New Roman"/>
          <w:color w:val="auto"/>
          <w:sz w:val="36"/>
          <w:szCs w:val="36"/>
        </w:rPr>
      </w:pPr>
    </w:p>
    <w:p>
      <w:pPr>
        <w:spacing w:line="700" w:lineRule="exact"/>
        <w:rPr>
          <w:rFonts w:ascii="方正小标宋_GBK" w:hAnsi="宋体" w:eastAsia="方正小标宋_GBK" w:cs="Times New Roman"/>
          <w:color w:val="auto"/>
          <w:sz w:val="36"/>
          <w:szCs w:val="36"/>
        </w:rPr>
      </w:pPr>
    </w:p>
    <w:p>
      <w:pPr>
        <w:spacing w:line="700" w:lineRule="exact"/>
        <w:ind w:left="3595" w:leftChars="855" w:hanging="1800" w:hangingChars="500"/>
        <w:rPr>
          <w:rFonts w:hint="eastAsia" w:ascii="方正小标宋_GBK" w:hAnsi="宋体" w:eastAsia="方正小标宋_GBK" w:cs="方正小标宋_GBK"/>
          <w:color w:val="auto"/>
          <w:sz w:val="36"/>
          <w:szCs w:val="36"/>
          <w:lang w:val="en-US" w:eastAsia="zh-CN"/>
        </w:rPr>
      </w:pPr>
      <w:r>
        <w:rPr>
          <w:rFonts w:hint="eastAsia" w:ascii="方正小标宋_GBK" w:hAnsi="宋体" w:eastAsia="方正小标宋_GBK" w:cs="方正小标宋_GBK"/>
          <w:color w:val="auto"/>
          <w:sz w:val="36"/>
          <w:szCs w:val="36"/>
        </w:rPr>
        <w:t>项目名称：</w:t>
      </w:r>
      <w:r>
        <w:rPr>
          <w:rFonts w:hint="eastAsia" w:ascii="方正小标宋_GBK" w:hAnsi="宋体" w:eastAsia="方正小标宋_GBK" w:cs="方正小标宋_GBK"/>
          <w:color w:val="auto"/>
          <w:sz w:val="36"/>
          <w:szCs w:val="36"/>
          <w:lang w:eastAsia="zh-CN"/>
        </w:rPr>
        <w:t>荷花坪社区卫生服务中心椅子项目</w:t>
      </w:r>
    </w:p>
    <w:p>
      <w:pPr>
        <w:spacing w:line="700" w:lineRule="exact"/>
        <w:ind w:firstLine="1800" w:firstLineChars="500"/>
        <w:rPr>
          <w:rFonts w:ascii="方正小标宋_GBK" w:hAnsi="宋体" w:eastAsia="方正小标宋_GBK" w:cs="Times New Roman"/>
          <w:color w:val="auto"/>
          <w:sz w:val="36"/>
          <w:szCs w:val="36"/>
        </w:rPr>
      </w:pPr>
      <w:r>
        <w:rPr>
          <w:rFonts w:hint="eastAsia" w:ascii="方正小标宋_GBK" w:hAnsi="宋体" w:eastAsia="方正小标宋_GBK" w:cs="方正小标宋_GBK"/>
          <w:color w:val="auto"/>
          <w:sz w:val="36"/>
          <w:szCs w:val="36"/>
        </w:rPr>
        <w:t>采购单位：重庆市巴南区第二人民医院</w:t>
      </w:r>
    </w:p>
    <w:p>
      <w:pPr>
        <w:pStyle w:val="5"/>
        <w:rPr>
          <w:color w:val="auto"/>
        </w:rPr>
      </w:pPr>
    </w:p>
    <w:p>
      <w:pPr>
        <w:rPr>
          <w:color w:val="auto"/>
        </w:rPr>
      </w:pPr>
    </w:p>
    <w:p>
      <w:pPr>
        <w:pStyle w:val="2"/>
        <w:rPr>
          <w:color w:val="auto"/>
        </w:rPr>
      </w:pPr>
    </w:p>
    <w:p>
      <w:pPr>
        <w:spacing w:line="720" w:lineRule="exact"/>
        <w:jc w:val="center"/>
        <w:outlineLvl w:val="0"/>
        <w:rPr>
          <w:rFonts w:ascii="方正黑体_GBK" w:eastAsia="方正黑体_GBK" w:cs="Times New Roman"/>
          <w:color w:val="auto"/>
          <w:sz w:val="44"/>
          <w:szCs w:val="44"/>
        </w:rPr>
      </w:pPr>
      <w:r>
        <w:rPr>
          <w:rFonts w:hint="eastAsia" w:ascii="方正黑体_GBK" w:hAnsi="宋体" w:eastAsia="方正黑体_GBK" w:cs="方正黑体_GBK"/>
          <w:color w:val="auto"/>
          <w:sz w:val="48"/>
          <w:szCs w:val="48"/>
        </w:rPr>
        <w:t>二〇</w:t>
      </w:r>
      <w:r>
        <w:rPr>
          <w:rFonts w:hint="eastAsia" w:ascii="方正黑体_GBK" w:hAnsi="宋体" w:eastAsia="方正黑体_GBK" w:cs="方正黑体_GBK"/>
          <w:color w:val="auto"/>
          <w:sz w:val="48"/>
          <w:szCs w:val="48"/>
          <w:lang w:eastAsia="zh-CN"/>
        </w:rPr>
        <w:t>二六</w:t>
      </w:r>
      <w:r>
        <w:rPr>
          <w:rFonts w:hint="eastAsia" w:ascii="方正黑体_GBK" w:hAnsi="宋体" w:eastAsia="方正黑体_GBK" w:cs="方正黑体_GBK"/>
          <w:color w:val="auto"/>
          <w:sz w:val="48"/>
          <w:szCs w:val="48"/>
        </w:rPr>
        <w:t>年</w:t>
      </w:r>
      <w:r>
        <w:rPr>
          <w:rFonts w:hint="eastAsia" w:ascii="方正黑体_GBK" w:hAnsi="宋体" w:eastAsia="方正黑体_GBK" w:cs="方正黑体_GBK"/>
          <w:color w:val="auto"/>
          <w:sz w:val="48"/>
          <w:szCs w:val="48"/>
          <w:lang w:eastAsia="zh-CN"/>
        </w:rPr>
        <w:t>九</w:t>
      </w:r>
      <w:r>
        <w:rPr>
          <w:rFonts w:hint="eastAsia" w:ascii="方正黑体_GBK" w:hAnsi="宋体" w:eastAsia="方正黑体_GBK" w:cs="方正黑体_GBK"/>
          <w:color w:val="auto"/>
          <w:sz w:val="48"/>
          <w:szCs w:val="48"/>
        </w:rPr>
        <w:t>月</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黑体" w:hAnsi="黑体" w:eastAsia="黑体" w:cs="黑体"/>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黑体" w:hAnsi="黑体" w:eastAsia="黑体" w:cs="黑体"/>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auto"/>
          <w:sz w:val="32"/>
          <w:szCs w:val="32"/>
        </w:rPr>
      </w:pPr>
      <w:r>
        <w:rPr>
          <w:rFonts w:hint="eastAsia" w:ascii="黑体" w:hAnsi="黑体" w:eastAsia="黑体" w:cs="黑体"/>
          <w:color w:val="auto"/>
          <w:sz w:val="32"/>
          <w:szCs w:val="32"/>
          <w:lang w:eastAsia="zh-CN"/>
        </w:rPr>
        <w:t>一、</w:t>
      </w:r>
      <w:r>
        <w:rPr>
          <w:rFonts w:hint="eastAsia" w:ascii="黑体" w:hAnsi="黑体" w:eastAsia="黑体" w:cs="黑体"/>
          <w:color w:val="auto"/>
          <w:sz w:val="32"/>
          <w:szCs w:val="32"/>
        </w:rPr>
        <w:t>采购项目</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auto"/>
          <w:sz w:val="32"/>
          <w:szCs w:val="32"/>
          <w:lang w:val="en-US" w:eastAsia="zh-CN"/>
        </w:rPr>
        <w:t>重庆市巴南区第二人民医院对荷花坪社区卫生服务中心椅子项目进行采购，项目预算3.106万元，项目编号BNQHXYY2026044</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，本项目成交供应商1名。</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上述项目实施内容及相关要求详见本文件第五条“技术参数要求”。</w:t>
      </w:r>
    </w:p>
    <w:p>
      <w:pPr>
        <w:keepNext w:val="0"/>
        <w:keepLines w:val="0"/>
        <w:pageBreakBefore w:val="0"/>
        <w:widowControl w:val="0"/>
        <w:kinsoku/>
        <w:wordWrap/>
        <w:overflowPunct/>
        <w:topLinePunct w:val="0"/>
        <w:autoSpaceDE/>
        <w:autoSpaceDN/>
        <w:bidi w:val="0"/>
        <w:snapToGrid w:val="0"/>
        <w:spacing w:line="540" w:lineRule="exact"/>
        <w:textAlignment w:val="auto"/>
        <w:rPr>
          <w:rFonts w:hint="eastAsia" w:ascii="黑体" w:hAnsi="黑体" w:eastAsia="黑体" w:cs="Times New Roman"/>
          <w:color w:val="000000" w:themeColor="text1"/>
          <w:sz w:val="32"/>
          <w:szCs w:val="32"/>
          <w:lang w:eastAsia="zh-CN"/>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二、</w:t>
      </w:r>
      <w:r>
        <w:rPr>
          <w:rFonts w:hint="eastAsia" w:ascii="黑体" w:hAnsi="黑体" w:eastAsia="黑体" w:cs="黑体"/>
          <w:color w:val="000000" w:themeColor="text1"/>
          <w:sz w:val="32"/>
          <w:szCs w:val="32"/>
          <w:lang w:eastAsia="zh-CN"/>
          <w14:textFill>
            <w14:solidFill>
              <w14:schemeClr w14:val="tx1"/>
            </w14:solidFill>
          </w14:textFill>
        </w:rPr>
        <w:t>资金来源</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 xml:space="preserve">自筹  </w:t>
      </w:r>
      <w:r>
        <w:rPr>
          <w:rFonts w:hint="eastAsia" w:ascii="方正仿宋_GBK" w:hAnsi="宋体" w:eastAsia="方正仿宋_GBK" w:cs="宋体"/>
          <w:color w:val="000000" w:themeColor="text1"/>
          <w:sz w:val="32"/>
          <w:szCs w:val="32"/>
          <w14:textFill>
            <w14:solidFill>
              <w14:schemeClr w14:val="tx1"/>
            </w14:solidFill>
          </w14:textFill>
        </w:rPr>
        <w:t xml:space="preserve"> </w:t>
      </w:r>
    </w:p>
    <w:p>
      <w:pPr>
        <w:pStyle w:val="17"/>
        <w:numPr>
          <w:ilvl w:val="0"/>
          <w:numId w:val="0"/>
        </w:numPr>
        <w:tabs>
          <w:tab w:val="clear" w:pos="1260"/>
          <w:tab w:val="clear" w:pos="1685"/>
          <w:tab w:val="clear" w:pos="8400"/>
        </w:tabs>
        <w:ind w:left="660" w:leftChars="0"/>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有关</w:t>
      </w:r>
      <w:r>
        <w:rPr>
          <w:rFonts w:hint="eastAsia" w:ascii="黑体" w:hAnsi="黑体" w:eastAsia="黑体" w:cs="黑体"/>
          <w:color w:val="000000" w:themeColor="text1"/>
          <w:sz w:val="32"/>
          <w:szCs w:val="32"/>
          <w:lang w:eastAsia="zh-CN"/>
          <w14:textFill>
            <w14:solidFill>
              <w14:schemeClr w14:val="tx1"/>
            </w14:solidFill>
          </w14:textFill>
        </w:rPr>
        <w:t>说明</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 报名方式</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1.拟参与比价的供应商通过</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begin"/>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instrText xml:space="preserve"> HYPERLINK "http://www.bnzw.gov.cn/login/index.aspx" \t "_blank" </w:instrTex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separate"/>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重庆市巴南区第二人民医院网站</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end"/>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（https://www.bnqhxyy.cn/）获取本项目比价文件（不提供现场发售）。</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2.拟参选的供应商报名获取比价文书后均视为已知晓所有比价实质性内容，且认同相</w:t>
      </w: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关要求。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（二）响应文书递交时间：2026年9月29日北京时间14:00—14:30；递交地点：重庆市巴南区第二人民医院采购办公室。</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（三）比价地点：重庆市巴南区第二人民医院临时办公用房会议室。</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（四）比价时间：2026年9月29日</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北京时间14:30时。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（五）其他</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本项目不接受联合体招标。</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w:t>
      </w:r>
      <w:r>
        <w:rPr>
          <w:rFonts w:hint="eastAsia" w:ascii="黑体" w:hAnsi="黑体" w:eastAsia="黑体" w:cs="黑体"/>
          <w:color w:val="000000" w:themeColor="text1"/>
          <w:sz w:val="32"/>
          <w:szCs w:val="32"/>
          <w:lang w:eastAsia="zh-CN"/>
          <w14:textFill>
            <w14:solidFill>
              <w14:schemeClr w14:val="tx1"/>
            </w14:solidFill>
          </w14:textFill>
        </w:rPr>
        <w:t>比价</w:t>
      </w:r>
      <w:r>
        <w:rPr>
          <w:rFonts w:hint="eastAsia" w:ascii="黑体" w:hAnsi="黑体" w:eastAsia="黑体" w:cs="黑体"/>
          <w:color w:val="000000" w:themeColor="text1"/>
          <w:sz w:val="32"/>
          <w:szCs w:val="32"/>
          <w14:textFill>
            <w14:solidFill>
              <w14:schemeClr w14:val="tx1"/>
            </w14:solidFill>
          </w14:textFill>
        </w:rPr>
        <w:t>有关规定</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（一）法定代表人为同一个人的两个及两个以上母公司、全资子公司及其控股公司，都不得在同一项目中同时参与比价采购。</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（二）凡有意参加比价的供应商，请于公告发布之日起至报名截止时间之前，在</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begin"/>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instrText xml:space="preserve"> HYPERLINK "http://www.bnzw.gov.cn/login/index.aspx" \t "_blank" </w:instrTex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separate"/>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重庆市巴南区第二人民医院网站</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end"/>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（https://www.bnqhxyy.cn/）下载查看本项目需求文件以及变更公告等采购前公布的所有项目资料，无论供应商下载查看与否，均视为已知晓所有采购实质性要求内容。</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（三）无论比价结果如何，供应商参与本项目的所有费用均自行承担。</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（四）供应商不得围标、串标，如违反采购相关法律法规，将纳入失信供应商处理。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（五）供应商必须严格按照货物要求及商务条款投报与之要求相符或高于的货物，若其中任意条款不能满足，则视为无效报价。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（六）成交供应商提供的货物必须符合相关行业标准，如达不到相关标准，采购人有权向成交供应商提出解除合同。</w:t>
      </w:r>
    </w:p>
    <w:p>
      <w:pPr>
        <w:keepNext w:val="0"/>
        <w:keepLines w:val="0"/>
        <w:pageBreakBefore w:val="0"/>
        <w:widowControl w:val="0"/>
        <w:kinsoku/>
        <w:wordWrap/>
        <w:overflowPunct/>
        <w:topLinePunct w:val="0"/>
        <w:autoSpaceDE/>
        <w:autoSpaceDN/>
        <w:bidi w:val="0"/>
        <w:adjustRightInd/>
        <w:snapToGrid w:val="0"/>
        <w:spacing w:line="440" w:lineRule="exact"/>
        <w:ind w:firstLine="66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CN"/>
        </w:rPr>
        <w:t>技术</w:t>
      </w:r>
      <w:r>
        <w:rPr>
          <w:rFonts w:hint="eastAsia" w:ascii="黑体" w:hAnsi="黑体" w:eastAsia="黑体" w:cs="黑体"/>
          <w:color w:val="auto"/>
          <w:sz w:val="32"/>
          <w:szCs w:val="32"/>
          <w:lang w:val="en-US" w:eastAsia="zh-CN"/>
        </w:rPr>
        <w:t>参数</w:t>
      </w:r>
      <w:r>
        <w:rPr>
          <w:rFonts w:hint="eastAsia" w:ascii="黑体" w:hAnsi="黑体" w:eastAsia="黑体" w:cs="黑体"/>
          <w:color w:val="auto"/>
          <w:sz w:val="32"/>
          <w:szCs w:val="32"/>
        </w:rPr>
        <w:t>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sectPr>
          <w:headerReference r:id="rId3" w:type="default"/>
          <w:footerReference r:id="rId4" w:type="default"/>
          <w:pgSz w:w="11906" w:h="16838"/>
          <w:pgMar w:top="1440" w:right="1797" w:bottom="1440" w:left="1797" w:header="851" w:footer="992" w:gutter="0"/>
          <w:cols w:space="425" w:num="1"/>
          <w:docGrid w:type="linesAndChars" w:linePitch="312" w:charSpace="0"/>
        </w:sectPr>
      </w:pPr>
    </w:p>
    <w:tbl>
      <w:tblPr>
        <w:tblStyle w:val="13"/>
        <w:tblW w:w="139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15"/>
        <w:gridCol w:w="1530"/>
        <w:gridCol w:w="1725"/>
        <w:gridCol w:w="4699"/>
        <w:gridCol w:w="1065"/>
        <w:gridCol w:w="960"/>
        <w:gridCol w:w="1335"/>
        <w:gridCol w:w="19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品目名称</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规格尺寸（MM）</w:t>
            </w:r>
          </w:p>
        </w:tc>
        <w:tc>
          <w:tcPr>
            <w:tcW w:w="46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技术参数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最高限价（元）</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参照图片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办公椅（电脑椅）</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605*480*930</w:t>
            </w:r>
          </w:p>
        </w:tc>
        <w:tc>
          <w:tcPr>
            <w:tcW w:w="46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color w:val="000000"/>
                <w:kern w:val="2"/>
                <w:sz w:val="16"/>
                <w:szCs w:val="16"/>
                <w:u w:val="none"/>
                <w:lang w:val="en-US" w:eastAsia="zh-CN" w:bidi="ar-SA"/>
              </w:rPr>
            </w:pPr>
            <w:r>
              <w:rPr>
                <w:rFonts w:hint="eastAsia" w:ascii="宋体" w:hAnsi="宋体" w:eastAsia="宋体" w:cs="宋体"/>
                <w:i w:val="0"/>
                <w:color w:val="000000"/>
                <w:kern w:val="0"/>
                <w:sz w:val="16"/>
                <w:szCs w:val="16"/>
                <w:u w:val="none"/>
                <w:lang w:val="en-US" w:eastAsia="zh-CN" w:bidi="ar"/>
              </w:rPr>
              <w:t>1、面料：采用优质网布，撕裂力≥28N，磨擦色牢度:干擦（500次）为4-5级、湿擦（250次）为4-5级、碱性汗液（80次）为4-5级，耐折牢度（50000次）、耐磨性符合，PH≥3.2，未检出游离甲醛。2、海绵：采用优质环保高弹阻燃海绵，甲醛释放量≤0.02mg/㎡h，TVOC≤0.1mg/㎡h，回弹率≥50%，拉伸强度≥130kpa，湿热老化后拉伸强度≥130kpa，撕裂强度≥10N/cm，密度座面≥55kg/m³，阻燃性能检测通过香烟抗引燃特性试验,软硬适中,耐久不变形，回弹力强；3、五金配件：采用优质五金配件，符合轻工产品金属镀层和化学处理层的耐腐蚀试验方法 乙酸盐雾试验标准，通过乙酸盐雾试验/金属表面耐腐蚀，连续喷雾120小时，测试为最好的等级10级。所有五金件作防锈、防腐处理，美观且经久耐用。5、脚架：使用优质铝合金五星脚架。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2"/>
                <w:sz w:val="20"/>
                <w:szCs w:val="20"/>
                <w:u w:val="none"/>
                <w:lang w:val="en-US" w:eastAsia="zh-CN" w:bidi="ar-SA"/>
              </w:rPr>
            </w:pPr>
            <w:r>
              <w:rPr>
                <w:rFonts w:hint="default" w:ascii="Arial" w:hAnsi="Arial" w:eastAsia="宋体" w:cs="Arial"/>
                <w:i w:val="0"/>
                <w:color w:val="000000"/>
                <w:kern w:val="0"/>
                <w:sz w:val="20"/>
                <w:szCs w:val="20"/>
                <w:u w:val="none"/>
                <w:lang w:val="en-US" w:eastAsia="zh-CN" w:bidi="ar"/>
              </w:rPr>
              <w:t>42</w:t>
            </w:r>
          </w:p>
        </w:tc>
        <w:tc>
          <w:tcPr>
            <w:tcW w:w="960"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张</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260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drawing>
                <wp:anchor distT="0" distB="0" distL="114300" distR="114300" simplePos="0" relativeHeight="251658240" behindDoc="1" locked="0" layoutInCell="1" allowOverlap="1">
                  <wp:simplePos x="0" y="0"/>
                  <wp:positionH relativeFrom="column">
                    <wp:posOffset>180975</wp:posOffset>
                  </wp:positionH>
                  <wp:positionV relativeFrom="paragraph">
                    <wp:posOffset>438150</wp:posOffset>
                  </wp:positionV>
                  <wp:extent cx="998220" cy="1216660"/>
                  <wp:effectExtent l="0" t="0" r="11430" b="2540"/>
                  <wp:wrapTight wrapText="bothSides">
                    <wp:wrapPolygon>
                      <wp:start x="0" y="0"/>
                      <wp:lineTo x="0" y="21307"/>
                      <wp:lineTo x="21023" y="21307"/>
                      <wp:lineTo x="21023" y="0"/>
                      <wp:lineTo x="0" y="0"/>
                    </wp:wrapPolygon>
                  </wp:wrapTight>
                  <wp:docPr id="8" name="图片 7" descr="e5fa0c3eabb623a6b0e1528651ef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e5fa0c3eabb623a6b0e1528651ef237"/>
                          <pic:cNvPicPr>
                            <a:picLocks noChangeAspect="1"/>
                          </pic:cNvPicPr>
                        </pic:nvPicPr>
                        <pic:blipFill>
                          <a:blip r:embed="rId8"/>
                          <a:stretch>
                            <a:fillRect/>
                          </a:stretch>
                        </pic:blipFill>
                        <pic:spPr>
                          <a:xfrm>
                            <a:off x="0" y="0"/>
                            <a:ext cx="998220" cy="1216660"/>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 xml:space="preserve"> 会议椅（病人就诊椅）</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480*500*900</w:t>
            </w:r>
          </w:p>
        </w:tc>
        <w:tc>
          <w:tcPr>
            <w:tcW w:w="46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kern w:val="2"/>
                <w:sz w:val="16"/>
                <w:szCs w:val="16"/>
                <w:u w:val="none"/>
                <w:lang w:val="en-US" w:eastAsia="zh-CN" w:bidi="ar-SA"/>
              </w:rPr>
            </w:pPr>
            <w:r>
              <w:rPr>
                <w:rStyle w:val="23"/>
                <w:lang w:val="en-US" w:eastAsia="zh-CN" w:bidi="ar"/>
              </w:rPr>
              <w:t>1、面料：采用优质环保西皮材质，皮面光泽度 好，透气性强，柔软富有韧性，无异味色差。 2、海棉：选用成型P.U发泡阻燃海绵，弹性好，不易变形，软硬适中，符合国家防火标准。 3、椅架：使用优质橡胶木框架，</w:t>
            </w:r>
            <w:r>
              <w:rPr>
                <w:rStyle w:val="24"/>
                <w:lang w:val="en-US" w:eastAsia="zh-CN" w:bidi="ar"/>
              </w:rPr>
              <w:t>无腐朽虫蛀，含水率10%。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2"/>
                <w:sz w:val="20"/>
                <w:szCs w:val="20"/>
                <w:u w:val="none"/>
                <w:lang w:val="en-US" w:eastAsia="zh-CN" w:bidi="ar-SA"/>
              </w:rPr>
            </w:pPr>
            <w:r>
              <w:rPr>
                <w:rFonts w:hint="default" w:ascii="Arial" w:hAnsi="Arial" w:eastAsia="宋体" w:cs="Arial"/>
                <w:i w:val="0"/>
                <w:color w:val="000000"/>
                <w:kern w:val="0"/>
                <w:sz w:val="20"/>
                <w:szCs w:val="20"/>
                <w:u w:val="none"/>
                <w:lang w:val="en-US" w:eastAsia="zh-CN" w:bidi="ar"/>
              </w:rPr>
              <w:t>2</w:t>
            </w:r>
          </w:p>
        </w:tc>
        <w:tc>
          <w:tcPr>
            <w:tcW w:w="960"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张</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230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drawing>
                <wp:anchor distT="0" distB="0" distL="114300" distR="114300" simplePos="0" relativeHeight="251659264" behindDoc="1" locked="0" layoutInCell="1" allowOverlap="1">
                  <wp:simplePos x="0" y="0"/>
                  <wp:positionH relativeFrom="column">
                    <wp:posOffset>152400</wp:posOffset>
                  </wp:positionH>
                  <wp:positionV relativeFrom="paragraph">
                    <wp:posOffset>150495</wp:posOffset>
                  </wp:positionV>
                  <wp:extent cx="949325" cy="1196340"/>
                  <wp:effectExtent l="0" t="0" r="3175" b="3810"/>
                  <wp:wrapTight wrapText="bothSides">
                    <wp:wrapPolygon>
                      <wp:start x="0" y="0"/>
                      <wp:lineTo x="0" y="21325"/>
                      <wp:lineTo x="21239" y="21325"/>
                      <wp:lineTo x="21239" y="0"/>
                      <wp:lineTo x="0" y="0"/>
                    </wp:wrapPolygon>
                  </wp:wrapTight>
                  <wp:docPr id="3" name="图片 2" descr="c05e5e10be5dfd2c97ec645d8392d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05e5e10be5dfd2c97ec645d8392d08"/>
                          <pic:cNvPicPr>
                            <a:picLocks noChangeAspect="1"/>
                          </pic:cNvPicPr>
                        </pic:nvPicPr>
                        <pic:blipFill>
                          <a:blip r:embed="rId9"/>
                          <a:stretch>
                            <a:fillRect/>
                          </a:stretch>
                        </pic:blipFill>
                        <pic:spPr>
                          <a:xfrm>
                            <a:off x="0" y="0"/>
                            <a:ext cx="949325" cy="1196340"/>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其他椅凳类（B超椅)</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490*400*1000</w:t>
            </w:r>
          </w:p>
        </w:tc>
        <w:tc>
          <w:tcPr>
            <w:tcW w:w="46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kern w:val="2"/>
                <w:sz w:val="16"/>
                <w:szCs w:val="16"/>
                <w:u w:val="none"/>
                <w:lang w:val="en-US" w:eastAsia="zh-CN" w:bidi="ar-SA"/>
              </w:rPr>
            </w:pPr>
            <w:r>
              <w:rPr>
                <w:rFonts w:hint="eastAsia" w:ascii="宋体" w:hAnsi="宋体" w:eastAsia="宋体" w:cs="宋体"/>
                <w:i w:val="0"/>
                <w:color w:val="000000"/>
                <w:kern w:val="0"/>
                <w:sz w:val="16"/>
                <w:szCs w:val="16"/>
                <w:u w:val="none"/>
                <w:lang w:val="en-US" w:eastAsia="zh-CN" w:bidi="ar"/>
              </w:rPr>
              <w:t>1、面料：采用优质西皮、耐磨性符合，未检出游离甲醛。</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2、海绵：采用环保阻燃海绵，回弹率≥45%，拉伸强度≥130kpa，甲醛释放量≤0.02mg/㎡h，阻燃性能检测通过香烟抗引燃特性试验。</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3、五金配件：采用优质五金配件，所有五金件作防锈、防腐处理。</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4、脚架：电镀带圈五星脚架。</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5脚轮：防滑静音脚轮。</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6功能：坐垫可升降调节。</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2"/>
                <w:sz w:val="20"/>
                <w:szCs w:val="20"/>
                <w:u w:val="none"/>
                <w:lang w:val="en-US" w:eastAsia="zh-CN" w:bidi="ar-SA"/>
              </w:rPr>
            </w:pPr>
            <w:r>
              <w:rPr>
                <w:rFonts w:hint="default" w:ascii="Arial" w:hAnsi="Arial" w:eastAsia="宋体" w:cs="Arial"/>
                <w:i w:val="0"/>
                <w:color w:val="000000"/>
                <w:kern w:val="0"/>
                <w:sz w:val="20"/>
                <w:szCs w:val="20"/>
                <w:u w:val="none"/>
                <w:lang w:val="en-US" w:eastAsia="zh-CN" w:bidi="ar"/>
              </w:rPr>
              <w:t>2</w:t>
            </w:r>
          </w:p>
        </w:tc>
        <w:tc>
          <w:tcPr>
            <w:tcW w:w="960"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张</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620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drawing>
                <wp:anchor distT="0" distB="0" distL="114300" distR="114300" simplePos="0" relativeHeight="251660288" behindDoc="1" locked="0" layoutInCell="1" allowOverlap="1">
                  <wp:simplePos x="0" y="0"/>
                  <wp:positionH relativeFrom="column">
                    <wp:posOffset>133350</wp:posOffset>
                  </wp:positionH>
                  <wp:positionV relativeFrom="paragraph">
                    <wp:posOffset>196850</wp:posOffset>
                  </wp:positionV>
                  <wp:extent cx="938530" cy="1209040"/>
                  <wp:effectExtent l="0" t="0" r="13970" b="10160"/>
                  <wp:wrapTight wrapText="bothSides">
                    <wp:wrapPolygon>
                      <wp:start x="4384" y="0"/>
                      <wp:lineTo x="0" y="4084"/>
                      <wp:lineTo x="0" y="17357"/>
                      <wp:lineTo x="4384" y="21101"/>
                      <wp:lineTo x="16660" y="21101"/>
                      <wp:lineTo x="21045" y="17357"/>
                      <wp:lineTo x="21045" y="4084"/>
                      <wp:lineTo x="16660" y="0"/>
                      <wp:lineTo x="4384" y="0"/>
                    </wp:wrapPolygon>
                  </wp:wrapTight>
                  <wp:docPr id="11" name="图片 10" descr="4b7c86931e96fce91e86c645d77c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4b7c86931e96fce91e86c645d77c328"/>
                          <pic:cNvPicPr>
                            <a:picLocks noChangeAspect="1"/>
                          </pic:cNvPicPr>
                        </pic:nvPicPr>
                        <pic:blipFill>
                          <a:blip r:embed="rId10"/>
                          <a:stretch>
                            <a:fillRect/>
                          </a:stretch>
                        </pic:blipFill>
                        <pic:spPr>
                          <a:xfrm>
                            <a:off x="0" y="0"/>
                            <a:ext cx="938530" cy="1209040"/>
                          </a:xfrm>
                          <a:prstGeom prst="plus">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其他椅凳类(实木独凳)</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350*350*450</w:t>
            </w:r>
          </w:p>
        </w:tc>
        <w:tc>
          <w:tcPr>
            <w:tcW w:w="46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2"/>
                <w:sz w:val="16"/>
                <w:szCs w:val="16"/>
                <w:u w:val="none"/>
                <w:lang w:val="en-US" w:eastAsia="zh-CN" w:bidi="ar-SA"/>
              </w:rPr>
            </w:pPr>
            <w:r>
              <w:rPr>
                <w:rFonts w:hint="eastAsia" w:ascii="宋体" w:hAnsi="宋体" w:eastAsia="宋体" w:cs="宋体"/>
                <w:i w:val="0"/>
                <w:color w:val="000000"/>
                <w:kern w:val="0"/>
                <w:sz w:val="16"/>
                <w:szCs w:val="16"/>
                <w:u w:val="none"/>
                <w:lang w:val="en-US" w:eastAsia="zh-CN" w:bidi="ar"/>
              </w:rPr>
              <w:t>主体材质：实木，原木本色。</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表面工艺：原木清漆，环保水性漆，保留木材天然纹理。</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凳腿：实木整料，向外微倾斜结构，提升稳定性。</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2"/>
                <w:sz w:val="20"/>
                <w:szCs w:val="20"/>
                <w:u w:val="none"/>
                <w:lang w:val="en-US" w:eastAsia="zh-CN" w:bidi="ar-SA"/>
              </w:rPr>
            </w:pPr>
            <w:r>
              <w:rPr>
                <w:rFonts w:hint="default" w:ascii="Arial" w:hAnsi="Arial" w:eastAsia="宋体" w:cs="Arial"/>
                <w:i w:val="0"/>
                <w:color w:val="000000"/>
                <w:kern w:val="0"/>
                <w:sz w:val="20"/>
                <w:szCs w:val="20"/>
                <w:u w:val="none"/>
                <w:lang w:val="en-US" w:eastAsia="zh-CN" w:bidi="ar"/>
              </w:rPr>
              <w:t>6</w:t>
            </w:r>
          </w:p>
        </w:tc>
        <w:tc>
          <w:tcPr>
            <w:tcW w:w="960"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张</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80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drawing>
                <wp:anchor distT="0" distB="0" distL="114300" distR="114300" simplePos="0" relativeHeight="251661312" behindDoc="1" locked="0" layoutInCell="1" allowOverlap="1">
                  <wp:simplePos x="0" y="0"/>
                  <wp:positionH relativeFrom="column">
                    <wp:posOffset>171450</wp:posOffset>
                  </wp:positionH>
                  <wp:positionV relativeFrom="paragraph">
                    <wp:posOffset>111125</wp:posOffset>
                  </wp:positionV>
                  <wp:extent cx="925195" cy="1366520"/>
                  <wp:effectExtent l="0" t="0" r="8255" b="5080"/>
                  <wp:wrapTight wrapText="bothSides">
                    <wp:wrapPolygon>
                      <wp:start x="0" y="0"/>
                      <wp:lineTo x="0" y="21379"/>
                      <wp:lineTo x="21348" y="21379"/>
                      <wp:lineTo x="21348" y="0"/>
                      <wp:lineTo x="0" y="0"/>
                    </wp:wrapPolygon>
                  </wp:wrapTight>
                  <wp:docPr id="12" name="图片 11" descr="e9d944ad3bc3ca9ef01756b1534a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e9d944ad3bc3ca9ef01756b1534ade7"/>
                          <pic:cNvPicPr>
                            <a:picLocks noChangeAspect="1"/>
                          </pic:cNvPicPr>
                        </pic:nvPicPr>
                        <pic:blipFill>
                          <a:blip r:embed="rId11"/>
                          <a:stretch>
                            <a:fillRect/>
                          </a:stretch>
                        </pic:blipFill>
                        <pic:spPr>
                          <a:xfrm>
                            <a:off x="0" y="0"/>
                            <a:ext cx="925195" cy="1366520"/>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其他椅凳类(升降圆凳)</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凳面直径330</w:t>
            </w:r>
          </w:p>
        </w:tc>
        <w:tc>
          <w:tcPr>
            <w:tcW w:w="46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2"/>
                <w:sz w:val="16"/>
                <w:szCs w:val="16"/>
                <w:u w:val="none"/>
                <w:lang w:val="en-US" w:eastAsia="zh-CN" w:bidi="ar-SA"/>
              </w:rPr>
            </w:pPr>
            <w:r>
              <w:rPr>
                <w:rFonts w:hint="eastAsia" w:ascii="宋体" w:hAnsi="宋体" w:eastAsia="宋体" w:cs="宋体"/>
                <w:i w:val="0"/>
                <w:color w:val="000000"/>
                <w:kern w:val="0"/>
                <w:sz w:val="16"/>
                <w:szCs w:val="16"/>
                <w:u w:val="none"/>
                <w:lang w:val="en-US" w:eastAsia="zh-CN" w:bidi="ar"/>
              </w:rPr>
              <w:t>座面：PU皮革软包，高弹海绵填充。</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升降系统：气压升降杆，手柄调节。</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底座：镀铬五星金属支架。</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脚轮：5个静音万向滚轮。</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2"/>
                <w:sz w:val="20"/>
                <w:szCs w:val="20"/>
                <w:u w:val="none"/>
                <w:lang w:val="en-US" w:eastAsia="zh-CN" w:bidi="ar-SA"/>
              </w:rPr>
            </w:pPr>
            <w:r>
              <w:rPr>
                <w:rFonts w:hint="default" w:ascii="Arial" w:hAnsi="Arial" w:eastAsia="宋体" w:cs="Arial"/>
                <w:i w:val="0"/>
                <w:color w:val="000000"/>
                <w:kern w:val="0"/>
                <w:sz w:val="20"/>
                <w:szCs w:val="20"/>
                <w:u w:val="none"/>
                <w:lang w:val="en-US" w:eastAsia="zh-CN" w:bidi="ar"/>
              </w:rPr>
              <w:t>2</w:t>
            </w:r>
          </w:p>
        </w:tc>
        <w:tc>
          <w:tcPr>
            <w:tcW w:w="960"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张</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180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drawing>
                <wp:anchor distT="0" distB="0" distL="114300" distR="114300" simplePos="0" relativeHeight="251662336" behindDoc="1" locked="0" layoutInCell="1" allowOverlap="1">
                  <wp:simplePos x="0" y="0"/>
                  <wp:positionH relativeFrom="column">
                    <wp:posOffset>133985</wp:posOffset>
                  </wp:positionH>
                  <wp:positionV relativeFrom="paragraph">
                    <wp:posOffset>113665</wp:posOffset>
                  </wp:positionV>
                  <wp:extent cx="945515" cy="1278255"/>
                  <wp:effectExtent l="0" t="0" r="6985" b="17145"/>
                  <wp:wrapTight wrapText="bothSides">
                    <wp:wrapPolygon>
                      <wp:start x="0" y="0"/>
                      <wp:lineTo x="0" y="21246"/>
                      <wp:lineTo x="21324" y="21246"/>
                      <wp:lineTo x="21324" y="0"/>
                      <wp:lineTo x="0" y="0"/>
                    </wp:wrapPolygon>
                  </wp:wrapTight>
                  <wp:docPr id="22" name="图片 21" descr="cfed5c2c540c6cf40dbbac53e5f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cfed5c2c540c6cf40dbbac53e5f1102"/>
                          <pic:cNvPicPr>
                            <a:picLocks noChangeAspect="1"/>
                          </pic:cNvPicPr>
                        </pic:nvPicPr>
                        <pic:blipFill>
                          <a:blip r:embed="rId12"/>
                          <a:stretch>
                            <a:fillRect/>
                          </a:stretch>
                        </pic:blipFill>
                        <pic:spPr>
                          <a:xfrm>
                            <a:off x="0" y="0"/>
                            <a:ext cx="945515" cy="1278255"/>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其他椅凳类(休闲椅)</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580*600*710</w:t>
            </w:r>
          </w:p>
        </w:tc>
        <w:tc>
          <w:tcPr>
            <w:tcW w:w="46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2"/>
                <w:sz w:val="16"/>
                <w:szCs w:val="16"/>
                <w:u w:val="none"/>
                <w:lang w:val="en-US" w:eastAsia="zh-CN" w:bidi="ar-SA"/>
              </w:rPr>
            </w:pPr>
            <w:r>
              <w:rPr>
                <w:rFonts w:hint="eastAsia" w:ascii="宋体" w:hAnsi="宋体" w:eastAsia="宋体" w:cs="宋体"/>
                <w:i w:val="0"/>
                <w:color w:val="000000"/>
                <w:kern w:val="0"/>
                <w:sz w:val="16"/>
                <w:szCs w:val="16"/>
                <w:u w:val="none"/>
                <w:lang w:val="en-US" w:eastAsia="zh-CN" w:bidi="ar"/>
              </w:rPr>
              <w:t>1.面料采用优质布艺，撕裂力≥28N，磨擦色牢度:干擦（500次）为4-5级、湿擦（250次）为4-5级、碱性汗液（80次）为4-5级，耐折牢度（50000次）、耐磨性符合，PH≥3.2，未检出游离甲醛。2、海绵：采用优质环保高弹阻燃海绵，甲醛释放量≤0.02mg/㎡h，TVOC≤0.1mg/㎡h，回弹率≥50%，拉伸强度≥130kpa，湿热老化后拉伸强度≥130kpa，撕裂强度≥10N/cm，密度座面≥55kg/m³，阻燃性能检测通过香烟抗引燃特性试验,软硬适中,耐久不变形，回弹力强；3、五金配件：采用优质五金配件，符合轻工产品金属镀层和化学处理层的耐腐蚀试验方法 乙酸盐雾试验标准，通过乙酸盐雾试验/金属表面耐腐蚀，连续喷雾120小时，测试为最好的等级10级。所有五金件作防锈、防腐处理，美观且经久耐用。5、实木框架：使用实木框架，木材含水率8—13%，木材防虫防腐处理。</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2"/>
                <w:sz w:val="20"/>
                <w:szCs w:val="20"/>
                <w:u w:val="none"/>
                <w:lang w:val="en-US" w:eastAsia="zh-CN" w:bidi="ar-SA"/>
              </w:rPr>
            </w:pPr>
            <w:r>
              <w:rPr>
                <w:rFonts w:hint="default" w:ascii="Arial" w:hAnsi="Arial" w:eastAsia="宋体" w:cs="Arial"/>
                <w:i w:val="0"/>
                <w:color w:val="000000"/>
                <w:kern w:val="0"/>
                <w:sz w:val="20"/>
                <w:szCs w:val="20"/>
                <w:u w:val="none"/>
                <w:lang w:val="en-US" w:eastAsia="zh-CN" w:bidi="ar"/>
              </w:rPr>
              <w:t>22</w:t>
            </w:r>
          </w:p>
        </w:tc>
        <w:tc>
          <w:tcPr>
            <w:tcW w:w="960"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张</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800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drawing>
                <wp:anchor distT="0" distB="0" distL="114300" distR="114300" simplePos="0" relativeHeight="251663360" behindDoc="1" locked="0" layoutInCell="1" allowOverlap="1">
                  <wp:simplePos x="0" y="0"/>
                  <wp:positionH relativeFrom="column">
                    <wp:posOffset>19050</wp:posOffset>
                  </wp:positionH>
                  <wp:positionV relativeFrom="paragraph">
                    <wp:posOffset>434975</wp:posOffset>
                  </wp:positionV>
                  <wp:extent cx="1174750" cy="1483995"/>
                  <wp:effectExtent l="0" t="0" r="6350" b="1905"/>
                  <wp:wrapTight wrapText="bothSides">
                    <wp:wrapPolygon>
                      <wp:start x="0" y="0"/>
                      <wp:lineTo x="0" y="21350"/>
                      <wp:lineTo x="21366" y="21350"/>
                      <wp:lineTo x="21366" y="0"/>
                      <wp:lineTo x="0" y="0"/>
                    </wp:wrapPolygon>
                  </wp:wrapTight>
                  <wp:docPr id="18" name="图片 17" descr="ac6bd1488f974cfd758ead64180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ac6bd1488f974cfd758ead6418082b0"/>
                          <pic:cNvPicPr>
                            <a:picLocks noChangeAspect="1"/>
                          </pic:cNvPicPr>
                        </pic:nvPicPr>
                        <pic:blipFill>
                          <a:blip r:embed="rId13"/>
                          <a:stretch>
                            <a:fillRect/>
                          </a:stretch>
                        </pic:blipFill>
                        <pic:spPr>
                          <a:xfrm>
                            <a:off x="0" y="0"/>
                            <a:ext cx="1174750" cy="1483995"/>
                          </a:xfrm>
                          <a:prstGeom prst="rect">
                            <a:avLst/>
                          </a:prstGeom>
                        </pic:spPr>
                      </pic:pic>
                    </a:graphicData>
                  </a:graphic>
                </wp:anchor>
              </w:drawing>
            </w:r>
          </w:p>
        </w:tc>
      </w:tr>
    </w:tbl>
    <w:p>
      <w:pPr>
        <w:pStyle w:val="3"/>
        <w:rPr>
          <w:rFonts w:hint="eastAsia"/>
          <w:lang w:val="en-US" w:eastAsia="zh-CN"/>
        </w:rPr>
        <w:sectPr>
          <w:pgSz w:w="16838" w:h="11906" w:orient="landscape"/>
          <w:pgMar w:top="1797" w:right="1440" w:bottom="1797" w:left="1440" w:header="851" w:footer="992" w:gutter="0"/>
          <w:cols w:space="425" w:num="1"/>
          <w:docGrid w:type="linesAndChars" w:linePitch="312" w:charSpace="0"/>
        </w:sectPr>
      </w:pP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黑体" w:hAnsi="黑体" w:eastAsia="黑体" w:cs="Times New Roman"/>
          <w:color w:val="auto"/>
          <w:sz w:val="32"/>
          <w:szCs w:val="32"/>
        </w:rPr>
      </w:pPr>
      <w:r>
        <w:rPr>
          <w:rFonts w:hint="eastAsia" w:ascii="黑体" w:hAnsi="黑体" w:eastAsia="黑体" w:cs="黑体"/>
          <w:color w:val="auto"/>
          <w:sz w:val="32"/>
          <w:szCs w:val="32"/>
          <w:lang w:eastAsia="zh-CN"/>
        </w:rPr>
        <w:t>六</w:t>
      </w:r>
      <w:r>
        <w:rPr>
          <w:rFonts w:hint="eastAsia" w:ascii="黑体" w:hAnsi="黑体" w:eastAsia="黑体" w:cs="黑体"/>
          <w:color w:val="auto"/>
          <w:sz w:val="32"/>
          <w:szCs w:val="32"/>
        </w:rPr>
        <w:t>、商务条款</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bookmarkStart w:id="0" w:name="_Toc267320049"/>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（一）实施时间、地点及验收方式</w:t>
      </w:r>
      <w:bookmarkEnd w:id="0"/>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1.实施时间</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sz w:val="32"/>
          <w:szCs w:val="32"/>
          <w:lang w:val="en-US" w:eastAsia="zh-CN"/>
        </w:rPr>
        <w:t>自合同签订次日算起，20个日历天内交付。</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2.交货地点</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交货地点：采购人指定地点（花溪街道荷花坪社区卫生服务中心）。</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3.验收方式</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bookmarkStart w:id="1" w:name="_Toc267320051"/>
      <w:r>
        <w:rPr>
          <w:rFonts w:hint="eastAsia" w:ascii="仿宋_GB2312" w:hAnsi="仿宋_GB2312" w:eastAsia="仿宋_GB2312" w:cs="仿宋_GB2312"/>
          <w:b w:val="0"/>
          <w:bCs w:val="0"/>
          <w:kern w:val="2"/>
          <w:sz w:val="32"/>
          <w:szCs w:val="32"/>
          <w:lang w:val="en-US" w:eastAsia="zh-CN" w:bidi="ar-SA"/>
        </w:rPr>
        <w:t>成交供应商交货后，采购人5个工作日内组织验收。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（二）项目报价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本次报价须为人民币报价，包含：产品基价、</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安装费</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、货物的税费、运输费、保险费、包装费、装卸费、售后服务费等一切与此项目有关的所有费用。</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t>2.投标人按照统一折扣进行填报，折扣报价不得超过100%。</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highlight w:val="yellow"/>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t>3.折扣填报说明：例如投标供应商在本项目投标报价为90%。（以办公椅为例，办公椅成交单价为：260元/张*90%=234元/张）。其他项目以此类推。</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4.未按采购人要求报价或超过单价最高限价或漏报影响评标结果的，视为未完全响应。</w:t>
      </w:r>
    </w:p>
    <w:p>
      <w:pPr>
        <w:pStyle w:val="1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default" w:ascii="仿宋_GB2312" w:hAnsi="Times New Roman" w:eastAsia="仿宋_GB2312" w:cs="仿宋_GB2312"/>
          <w:color w:val="000000" w:themeColor="text1"/>
          <w:kern w:val="2"/>
          <w:sz w:val="32"/>
          <w:szCs w:val="32"/>
          <w:highlight w:val="yellow"/>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highlight w:val="yellow"/>
          <w:lang w:val="en-US" w:eastAsia="zh-CN" w:bidi="ar-SA"/>
          <w14:textFill>
            <w14:solidFill>
              <w14:schemeClr w14:val="tx1"/>
            </w14:solidFill>
          </w14:textFill>
        </w:rPr>
        <w:t>5.本次项目的产品如能在框架协议下单，采购人按中标价格在框架协议下单采购。</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（三）付款方式</w:t>
      </w:r>
      <w:bookmarkEnd w:id="1"/>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据实结算。产品安装完成正常使用，经双方核对产品订单数量、验收合格并签字确认后，成交供应商开具正规发票，采购人根据发票金额于30日内一次性支付货款，成交供应商未按要求提供发票的，采购人有权拒绝付款且不构成违约，不承担违约责任。（单项成交价格×单项订单数量，汇总后形成总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（四）质量保证及售后服务</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1.质保期：验收合格之日起1年。</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2.成交供应商须提供正规合格产品，采购人有权要求成交供应商提供部分产品主要材质检测报告、产品质检报告、产品合格证等。</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3.成交供应商必须进行现场踏勘，按采购人要求核实产品尺寸，如所供产品尺寸与招标要求不一致，但能满足采购人正常使用要求，经采购人同意后方可提供。</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4.采购人有权根据实际情况对产品数量进行调整，按实结算。</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成交供应商须在合同期限内将产品安装到采购人指定位置。如所提供的产品不能满足采购人正常使用要求，又不能按时完成整改或提供替代产品的，采购人有权单方面终止合同，造成的一切损失由成交供应商承担。</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（五）知识产权</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采购人在中华人民共和国境内使用供应商提供的货物及服务时免受第三方提出的侵犯其专利权或其它知识产权的起诉。如果第三方提出侵权指控，成交供应商应承担由此而引起的一切法律责任和费用。</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（六）其他</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其他未尽事宜由成交供应商和采购人双方在采购合同中详细约定。</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七、文件制作要求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参选供应商提供的所有资料无论中选与否，均不予退还。本比价文书中要求的所有资料，参选供应商必须提供真实且准确的，若参选供应商有弄虚作假、串通报价和欺骗行为，一经查实，由此而产生的经济损失、经济责任和一切后果由参选供应商承担，并按有关规定进行严肃处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比价文书一式两份（正副本），正副本均由资质证明文件、技术文件及报价文件组成。资质证明文件、技术文件及报价文件按A4纸规格装订成一本，然后用信封密封并在信封封面标明项目名称、文件类别、参选供应商名称等，最后装入一个大袋。大袋封面上注明项目名称、参选供应商名称及“不准提前启封”字样。信封和大袋的封口须加盖参选供应商公章。未按规定密封，可能导致比价文书被拒绝接收。比价文书制作要求如下：</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 资质文件部分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1.一般资质文件内容要求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检查内容：供应商法人营业执照（复印件）、供应商法定代表人身份证明和法定代表人授权代表委托书。</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不具有独立法人的分公司、办事处等分支机构不能参加比价。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（3）具有履行合同所必需的设备和专业技术能力；</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（4）有依法缴纳税收和社会保障资金的良好记录；</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上述2-5项检查内容：供应商提供基本资格承诺函。（格式附后）</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pPr>
      <w:r>
        <w:rPr>
          <w:rFonts w:hint="eastAsia" w:ascii="方正仿宋" w:hAnsi="方正仿宋" w:eastAsia="方正仿宋" w:cs="方正仿宋"/>
          <w:color w:val="auto"/>
          <w:kern w:val="2"/>
          <w:sz w:val="32"/>
          <w:szCs w:val="32"/>
          <w:highlight w:val="yellow"/>
          <w:lang w:val="en-US" w:eastAsia="zh-CN" w:bidi="ar-SA"/>
        </w:rPr>
        <w:t>其中第4项，如授权代表参与投标的还需提供该项目授权代表近三个月缴纳社会保险参保证明。（法人参加的不需要）</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2.特定资格条件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无</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以上证照必须年审合格，且在有效期内；复印件必须清晰可见，且加盖供应商单位鲜章；函件必须为加盖鲜章的原件；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（二）技术文件部分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1.响应文件与比价文件中服务技术和商务条款参数差异表(应对技术参数中的所有条款进行逐一应答，还需在“比价文件对应页码”栏内写明技术支持文件的页码)；</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2、技术方案中要求的其他必要资料</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（三）报价文件部分</w:t>
      </w:r>
    </w:p>
    <w:p>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八、成交供应商确定</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成交方法：最低价成交法，在符合采购需求、质量和服务相等且报价不超过最高限价的前提下，</w:t>
      </w:r>
      <w:r>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t>折扣率最低</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的供应商确定为成交供应商。若报价最低的供应商有两个及以上相同，则根据报名先后顺序确定成交供应商。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说明：</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采购评审中出现下列情形之一的，评审委员会应当启动异常低价投标审查程序：</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1.投标报价低于全部通过符合性审查供应商投标报价平均值50%的，即投标报价&lt;全部通过符合性审查供应商投标报价平均值×50%；</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2.投标报价低于通过符合性审查的次低报价供应商投标报价50%的，即投标报价&lt;通过符合性审查的次低报价供应商投标报价×50%；</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3.投标报价低于采购项目最高限价45%的，即投标报价&lt;采购项目最高限价×45%；</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4.评审委员会基于专业判断，认为供应商报价过低，有可能影响产品质量或者不能诚信履约的其他情形。</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lang w:val="en-US" w:eastAsia="zh-CN"/>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九</w:t>
      </w:r>
      <w:r>
        <w:rPr>
          <w:rFonts w:hint="default" w:ascii="黑体" w:hAnsi="黑体" w:eastAsia="黑体" w:cs="黑体"/>
          <w:color w:val="000000" w:themeColor="text1"/>
          <w:sz w:val="32"/>
          <w:szCs w:val="32"/>
          <w:lang w:val="en-US" w:eastAsia="zh-CN"/>
          <w14:textFill>
            <w14:solidFill>
              <w14:schemeClr w14:val="tx1"/>
            </w14:solidFill>
          </w14:textFill>
        </w:rPr>
        <w:t>、无效报价情形</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（一）资质审查不合格的（即供应商提交的资质文件不符合比价文书资质文件内容要求的）；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（二）比价文件未密封的；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（三）比价文件逾期送达的；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（四）没有按照比价文书要求由比价供应商法定代表人或授权代表签字并加盖公章的；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（五）报价超过最高限价的；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（六）未完全响应本比价文书技术方案及商务条款的；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（七）比价文件有多个投报方案或报价的；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（八）单位负责人为同一人或者存在直接控股、管理关系的不同供应商，在同一项目报价均无效；</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（九）供应商报价或者某些分项报价明显不合理或者低于成本，不能证明其报价合理性的；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（十）比价文件附有采购人不能接受的条件。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（十一）</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未按规定格式和要求填写，内容不全或字迹模糊，辨认不清而影响评标定标的；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十、废标条款</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有下列情形之一的，重新组织采购或取消本次采购：</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）出现影响采购公正的违法、违规行为的；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）因重大变故，采购任务取消的。</w:t>
      </w:r>
    </w:p>
    <w:p>
      <w:pPr>
        <w:keepNext w:val="0"/>
        <w:keepLines w:val="0"/>
        <w:pageBreakBefore w:val="0"/>
        <w:widowControl w:val="0"/>
        <w:kinsoku/>
        <w:wordWrap/>
        <w:overflowPunct/>
        <w:topLinePunct w:val="0"/>
        <w:autoSpaceDE/>
        <w:autoSpaceDN/>
        <w:bidi w:val="0"/>
        <w:adjustRightInd w:val="0"/>
        <w:spacing w:line="520" w:lineRule="exact"/>
        <w:ind w:firstLine="640" w:firstLineChars="200"/>
        <w:textAlignment w:val="auto"/>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w:t>
      </w: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、签订采购合同</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成交供应商应在成交公示期满后</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10</w:t>
      </w:r>
      <w:r>
        <w:rPr>
          <w:rFonts w:hint="eastAsia" w:ascii="仿宋_GB2312" w:hAnsi="Times New Roman" w:eastAsia="仿宋_GB2312" w:cs="仿宋_GB2312"/>
          <w:color w:val="000000" w:themeColor="text1"/>
          <w:sz w:val="32"/>
          <w:szCs w:val="32"/>
          <w14:textFill>
            <w14:solidFill>
              <w14:schemeClr w14:val="tx1"/>
            </w14:solidFill>
          </w14:textFill>
        </w:rPr>
        <w:t>个</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日历</w:t>
      </w:r>
      <w:r>
        <w:rPr>
          <w:rFonts w:hint="eastAsia" w:ascii="仿宋_GB2312" w:hAnsi="Times New Roman" w:eastAsia="仿宋_GB2312" w:cs="仿宋_GB2312"/>
          <w:color w:val="000000" w:themeColor="text1"/>
          <w:sz w:val="32"/>
          <w:szCs w:val="32"/>
          <w14:textFill>
            <w14:solidFill>
              <w14:schemeClr w14:val="tx1"/>
            </w14:solidFill>
          </w14:textFill>
        </w:rPr>
        <w:t>日内与采购人签订采购合同。成交供应商无故逾期或拒绝或不按成交状态签订合同的，将取消其成交资格，并记入</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不诚信</w:t>
      </w:r>
      <w:r>
        <w:rPr>
          <w:rFonts w:hint="eastAsia" w:ascii="仿宋_GB2312" w:hAnsi="Times New Roman" w:eastAsia="仿宋_GB2312" w:cs="仿宋_GB2312"/>
          <w:color w:val="000000" w:themeColor="text1"/>
          <w:sz w:val="32"/>
          <w:szCs w:val="32"/>
          <w14:textFill>
            <w14:solidFill>
              <w14:schemeClr w14:val="tx1"/>
            </w14:solidFill>
          </w14:textFill>
        </w:rPr>
        <w:t>记录。</w:t>
      </w:r>
    </w:p>
    <w:p>
      <w:pPr>
        <w:keepNext w:val="0"/>
        <w:keepLines w:val="0"/>
        <w:pageBreakBefore w:val="0"/>
        <w:widowControl w:val="0"/>
        <w:kinsoku/>
        <w:wordWrap/>
        <w:overflowPunct/>
        <w:topLinePunct w:val="0"/>
        <w:autoSpaceDE/>
        <w:autoSpaceDN/>
        <w:bidi w:val="0"/>
        <w:adjustRightInd w:val="0"/>
        <w:spacing w:line="520" w:lineRule="exact"/>
        <w:ind w:firstLine="640" w:firstLineChars="200"/>
        <w:textAlignment w:val="auto"/>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、项目联系人</w:t>
      </w:r>
    </w:p>
    <w:p>
      <w:pPr>
        <w:keepNext w:val="0"/>
        <w:keepLines w:val="0"/>
        <w:pageBreakBefore w:val="0"/>
        <w:widowControl w:val="0"/>
        <w:kinsoku/>
        <w:wordWrap/>
        <w:overflowPunct/>
        <w:topLinePunct w:val="0"/>
        <w:autoSpaceDE/>
        <w:autoSpaceDN/>
        <w:bidi w:val="0"/>
        <w:snapToGrid w:val="0"/>
        <w:spacing w:line="520" w:lineRule="exact"/>
        <w:ind w:firstLine="566" w:firstLineChars="177"/>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联系人：</w:t>
      </w:r>
      <w:r>
        <w:rPr>
          <w:rFonts w:hint="eastAsia" w:ascii="仿宋_GB2312" w:hAnsi="Times New Roman" w:eastAsia="仿宋_GB2312" w:cs="仿宋_GB2312"/>
          <w:color w:val="000000" w:themeColor="text1"/>
          <w:sz w:val="32"/>
          <w:szCs w:val="32"/>
          <w:lang w:eastAsia="zh-CN"/>
          <w14:textFill>
            <w14:solidFill>
              <w14:schemeClr w14:val="tx1"/>
            </w14:solidFill>
          </w14:textFill>
        </w:rPr>
        <w:t>技术参数咨询黄</w:t>
      </w:r>
      <w:r>
        <w:rPr>
          <w:rFonts w:hint="eastAsia" w:ascii="仿宋_GB2312" w:hAnsi="Times New Roman" w:eastAsia="仿宋_GB2312" w:cs="仿宋_GB2312"/>
          <w:color w:val="000000" w:themeColor="text1"/>
          <w:sz w:val="32"/>
          <w:szCs w:val="32"/>
          <w14:textFill>
            <w14:solidFill>
              <w14:schemeClr w14:val="tx1"/>
            </w14:solidFill>
          </w14:textFill>
        </w:rPr>
        <w:t>老师</w:t>
      </w:r>
      <w:r>
        <w:rPr>
          <w:rFonts w:hint="eastAsia" w:ascii="仿宋_GB2312" w:hAnsi="Times New Roman" w:eastAsia="仿宋_GB2312" w:cs="仿宋_GB2312"/>
          <w:color w:val="000000" w:themeColor="text1"/>
          <w:sz w:val="32"/>
          <w:szCs w:val="32"/>
          <w:lang w:eastAsia="zh-CN"/>
          <w14:textFill>
            <w14:solidFill>
              <w14:schemeClr w14:val="tx1"/>
            </w14:solidFill>
          </w14:textFill>
        </w:rPr>
        <w:t>（总务）</w:t>
      </w: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14:textFill>
            <w14:solidFill>
              <w14:schemeClr w14:val="tx1"/>
            </w14:solidFill>
          </w14:textFill>
        </w:rPr>
        <w:t>联系电话：</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62867383</w:t>
      </w:r>
    </w:p>
    <w:p>
      <w:pPr>
        <w:keepNext w:val="0"/>
        <w:keepLines w:val="0"/>
        <w:pageBreakBefore w:val="0"/>
        <w:widowControl w:val="0"/>
        <w:kinsoku/>
        <w:wordWrap/>
        <w:overflowPunct/>
        <w:topLinePunct w:val="0"/>
        <w:autoSpaceDE/>
        <w:autoSpaceDN/>
        <w:bidi w:val="0"/>
        <w:snapToGrid w:val="0"/>
        <w:spacing w:line="520" w:lineRule="exact"/>
        <w:ind w:firstLine="566" w:firstLineChars="177"/>
        <w:textAlignment w:val="auto"/>
        <w:rPr>
          <w:rFonts w:hint="default" w:eastAsia="仿宋_GB2312"/>
          <w:color w:val="000000" w:themeColor="text1"/>
          <w:lang w:val="en-US" w:eastAsia="zh-CN"/>
          <w14:textFill>
            <w14:solidFill>
              <w14:schemeClr w14:val="tx1"/>
            </w14:solidFill>
          </w14:textFill>
        </w:rPr>
        <w:sectPr>
          <w:pgSz w:w="11906" w:h="16838"/>
          <w:pgMar w:top="1440" w:right="1797" w:bottom="1440" w:left="1797" w:header="851" w:footer="992" w:gutter="0"/>
          <w:cols w:space="425" w:num="1"/>
          <w:docGrid w:type="linesAndChars" w:linePitch="312" w:charSpace="0"/>
        </w:sectPr>
      </w:pP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lang w:eastAsia="zh-CN"/>
          <w14:textFill>
            <w14:solidFill>
              <w14:schemeClr w14:val="tx1"/>
            </w14:solidFill>
          </w14:textFill>
        </w:rPr>
        <w:t>采购文件制作咨询吴</w:t>
      </w:r>
      <w:r>
        <w:rPr>
          <w:rFonts w:hint="eastAsia" w:ascii="仿宋_GB2312" w:hAnsi="Times New Roman" w:eastAsia="仿宋_GB2312" w:cs="仿宋_GB2312"/>
          <w:color w:val="000000" w:themeColor="text1"/>
          <w:sz w:val="32"/>
          <w:szCs w:val="32"/>
          <w14:textFill>
            <w14:solidFill>
              <w14:schemeClr w14:val="tx1"/>
            </w14:solidFill>
          </w14:textFill>
        </w:rPr>
        <w:t>老师</w:t>
      </w:r>
      <w:r>
        <w:rPr>
          <w:rFonts w:hint="eastAsia" w:ascii="仿宋_GB2312" w:hAnsi="Times New Roman" w:eastAsia="仿宋_GB2312" w:cs="仿宋_GB2312"/>
          <w:color w:val="000000" w:themeColor="text1"/>
          <w:sz w:val="32"/>
          <w:szCs w:val="32"/>
          <w:lang w:eastAsia="zh-CN"/>
          <w14:textFill>
            <w14:solidFill>
              <w14:schemeClr w14:val="tx1"/>
            </w14:solidFill>
          </w14:textFill>
        </w:rPr>
        <w:t>（采购）</w:t>
      </w: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14:textFill>
            <w14:solidFill>
              <w14:schemeClr w14:val="tx1"/>
            </w14:solidFill>
          </w14:textFill>
        </w:rPr>
        <w:t>联系电话：</w:t>
      </w:r>
      <w:r>
        <w:rPr>
          <w:rFonts w:ascii="仿宋_GB2312" w:hAnsi="Times New Roman" w:eastAsia="仿宋_GB2312" w:cs="仿宋_GB2312"/>
          <w:color w:val="000000" w:themeColor="text1"/>
          <w:sz w:val="32"/>
          <w:szCs w:val="32"/>
          <w14:textFill>
            <w14:solidFill>
              <w14:schemeClr w14:val="tx1"/>
            </w14:solidFill>
          </w14:textFill>
        </w:rPr>
        <w:t>62867</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363</w:t>
      </w:r>
    </w:p>
    <w:p>
      <w:pPr>
        <w:adjustRightInd w:val="0"/>
        <w:spacing w:line="500" w:lineRule="exact"/>
        <w:ind w:right="640"/>
        <w:jc w:val="lef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lang w:eastAsia="zh-CN"/>
          <w14:textFill>
            <w14:solidFill>
              <w14:schemeClr w14:val="tx1"/>
            </w14:solidFill>
          </w14:textFill>
        </w:rPr>
        <w:t>比价</w:t>
      </w:r>
      <w:r>
        <w:rPr>
          <w:rFonts w:hint="eastAsia" w:ascii="仿宋_GB2312" w:hAnsi="Times New Roman" w:eastAsia="仿宋_GB2312" w:cs="仿宋_GB2312"/>
          <w:color w:val="000000" w:themeColor="text1"/>
          <w:sz w:val="32"/>
          <w:szCs w:val="32"/>
          <w14:textFill>
            <w14:solidFill>
              <w14:schemeClr w14:val="tx1"/>
            </w14:solidFill>
          </w14:textFill>
        </w:rPr>
        <w:t>文件格式</w:t>
      </w:r>
    </w:p>
    <w:p>
      <w:pPr>
        <w:spacing w:line="540" w:lineRule="exact"/>
        <w:rPr>
          <w:rFonts w:ascii="仿宋_GB2312" w:hAnsi="Times New Roman" w:eastAsia="仿宋_GB2312" w:cs="Times New Roman"/>
          <w:color w:val="000000" w:themeColor="text1"/>
          <w:sz w:val="32"/>
          <w:szCs w:val="32"/>
          <w14:textFill>
            <w14:solidFill>
              <w14:schemeClr w14:val="tx1"/>
            </w14:solidFill>
          </w14:textFill>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u w:val="single"/>
          <w14:textFill>
            <w14:solidFill>
              <w14:schemeClr w14:val="tx1"/>
            </w14:solidFill>
          </w14:textFill>
        </w:rPr>
      </w:pPr>
      <w:r>
        <w:rPr>
          <w:rFonts w:ascii="仿宋_GB2312" w:hAnsi="宋体" w:eastAsia="仿宋_GB2312" w:cs="仿宋_GB2312"/>
          <w:color w:val="000000" w:themeColor="text1"/>
          <w:kern w:val="0"/>
          <w:sz w:val="28"/>
          <w:szCs w:val="28"/>
          <w14:textFill>
            <w14:solidFill>
              <w14:schemeClr w14:val="tx1"/>
            </w14:solidFill>
          </w14:textFill>
        </w:rPr>
        <w:t>1</w:t>
      </w:r>
      <w:r>
        <w:rPr>
          <w:rFonts w:hint="eastAsia" w:ascii="仿宋_GB2312" w:hAnsi="宋体" w:eastAsia="仿宋_GB2312" w:cs="仿宋_GB2312"/>
          <w:color w:val="000000" w:themeColor="text1"/>
          <w:kern w:val="0"/>
          <w:sz w:val="28"/>
          <w:szCs w:val="28"/>
          <w14:textFill>
            <w14:solidFill>
              <w14:schemeClr w14:val="tx1"/>
            </w14:solidFill>
          </w14:textFill>
        </w:rPr>
        <w:t>、</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文件大信封封面</w:t>
      </w: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ind w:firstLine="640" w:firstLineChars="200"/>
        <w:jc w:val="center"/>
        <w:rPr>
          <w:rFonts w:ascii="仿宋_GB2312" w:hAnsi="宋体" w:eastAsia="仿宋_GB2312" w:cs="MingLiUfalt"/>
          <w:b/>
          <w:color w:val="000000" w:themeColor="text1"/>
          <w:kern w:val="0"/>
          <w:sz w:val="24"/>
          <w:szCs w:val="24"/>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不准在  年  月  日北京时间下午前启封</w:t>
      </w: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tabs>
          <w:tab w:val="left" w:pos="3280"/>
          <w:tab w:val="left" w:pos="4680"/>
          <w:tab w:val="left" w:pos="6080"/>
        </w:tabs>
        <w:autoSpaceDE w:val="0"/>
        <w:autoSpaceDN w:val="0"/>
        <w:adjustRightInd w:val="0"/>
        <w:snapToGrid w:val="0"/>
        <w:spacing w:line="360" w:lineRule="auto"/>
        <w:jc w:val="center"/>
        <w:rPr>
          <w:rFonts w:ascii="仿宋_GB2312" w:hAnsi="宋体" w:eastAsia="仿宋_GB2312" w:cs="MingLiUfalt"/>
          <w:b/>
          <w:color w:val="000000" w:themeColor="text1"/>
          <w:w w:val="99"/>
          <w:kern w:val="0"/>
          <w:sz w:val="24"/>
          <w:szCs w:val="24"/>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tabs>
          <w:tab w:val="left" w:pos="2580"/>
          <w:tab w:val="left" w:pos="5940"/>
        </w:tabs>
        <w:autoSpaceDE w:val="0"/>
        <w:autoSpaceDN w:val="0"/>
        <w:adjustRightInd w:val="0"/>
        <w:snapToGrid w:val="0"/>
        <w:spacing w:line="360" w:lineRule="auto"/>
        <w:jc w:val="left"/>
        <w:rPr>
          <w:rFonts w:ascii="仿宋_GB2312" w:hAnsi="宋体" w:eastAsia="仿宋_GB2312" w:cs="仿宋_GB2312"/>
          <w:color w:val="000000" w:themeColor="text1"/>
          <w:kern w:val="0"/>
          <w:sz w:val="28"/>
          <w:szCs w:val="28"/>
          <w14:textFill>
            <w14:solidFill>
              <w14:schemeClr w14:val="tx1"/>
            </w14:solidFill>
          </w14:textFill>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8"/>
          <w:szCs w:val="28"/>
          <w14:textFill>
            <w14:solidFill>
              <w14:schemeClr w14:val="tx1"/>
            </w14:solidFill>
          </w14:textFill>
        </w:rPr>
      </w:pPr>
      <w:r>
        <w:rPr>
          <w:rFonts w:ascii="仿宋_GB2312" w:hAnsi="宋体" w:eastAsia="仿宋_GB2312" w:cs="仿宋_GB2312"/>
          <w:color w:val="000000" w:themeColor="text1"/>
          <w:kern w:val="0"/>
          <w:sz w:val="28"/>
          <w:szCs w:val="28"/>
          <w14:textFill>
            <w14:solidFill>
              <w14:schemeClr w14:val="tx1"/>
            </w14:solidFill>
          </w14:textFill>
        </w:rPr>
        <w:t>2.</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文件资质部分</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spacing w:line="540" w:lineRule="exact"/>
        <w:jc w:val="center"/>
        <w:rPr>
          <w:rFonts w:ascii="方正小标宋简体" w:hAnsi="方正小标宋简体" w:eastAsia="方正小标宋简体" w:cs="Times New Roman"/>
          <w:b/>
          <w:bCs/>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6"/>
          <w:szCs w:val="36"/>
          <w14:textFill>
            <w14:solidFill>
              <w14:schemeClr w14:val="tx1"/>
            </w14:solidFill>
          </w14:textFill>
        </w:rPr>
        <w:t>资质文件部分</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spacing w:line="312" w:lineRule="auto"/>
        <w:jc w:val="center"/>
        <w:rPr>
          <w:rFonts w:hint="eastAsia" w:ascii="宋体" w:hAnsi="宋体" w:cs="宋体"/>
          <w:b/>
          <w:color w:val="000000" w:themeColor="text1"/>
          <w:sz w:val="32"/>
          <w:szCs w:val="32"/>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一、供应商资格条件</w:t>
      </w:r>
    </w:p>
    <w:p>
      <w:pPr>
        <w:pStyle w:val="5"/>
        <w:rPr>
          <w:rFonts w:hint="default"/>
          <w:color w:val="000000" w:themeColor="text1"/>
          <w:lang w:val="en-US" w:eastAsia="zh-CN"/>
          <w14:textFill>
            <w14:solidFill>
              <w14:schemeClr w14:val="tx1"/>
            </w14:solidFill>
          </w14:textFill>
        </w:rPr>
      </w:pPr>
      <w:r>
        <w:rPr>
          <w:rFonts w:hint="eastAsia" w:hAnsi="Times New Roman" w:cs="Times New Roman"/>
          <w:color w:val="000000" w:themeColor="text1"/>
          <w:sz w:val="32"/>
          <w:szCs w:val="28"/>
          <w:lang w:val="en-US" w:eastAsia="zh-CN"/>
          <w14:textFill>
            <w14:solidFill>
              <w14:schemeClr w14:val="tx1"/>
            </w14:solidFill>
          </w14:textFill>
        </w:rPr>
        <w:t xml:space="preserve">    （一）</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提供营业执照</w:t>
      </w:r>
    </w:p>
    <w:p>
      <w:pPr>
        <w:numPr>
          <w:ilvl w:val="0"/>
          <w:numId w:val="0"/>
        </w:numPr>
        <w:spacing w:line="312" w:lineRule="auto"/>
        <w:rPr>
          <w:rFonts w:hint="default" w:ascii="仿宋_GB2312" w:hAnsi="Times New Roman" w:eastAsia="仿宋_GB2312" w:cs="Times New Roman"/>
          <w:color w:val="000000" w:themeColor="text1"/>
          <w:sz w:val="32"/>
          <w:szCs w:val="28"/>
          <w:lang w:val="en-US" w:eastAsia="zh-CN"/>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 xml:space="preserve">  </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 xml:space="preserve">  </w:t>
      </w:r>
    </w:p>
    <w:p>
      <w:pPr>
        <w:tabs>
          <w:tab w:val="left" w:pos="6300"/>
        </w:tabs>
        <w:snapToGrid w:val="0"/>
        <w:spacing w:line="312" w:lineRule="auto"/>
        <w:rPr>
          <w:rFonts w:hint="eastAsia" w:ascii="仿宋_GB2312" w:hAnsi="Times New Roman" w:eastAsia="仿宋_GB2312" w:cs="Times New Roman"/>
          <w:color w:val="000000" w:themeColor="text1"/>
          <w:kern w:val="2"/>
          <w:sz w:val="32"/>
          <w:szCs w:val="28"/>
          <w:lang w:val="en-US" w:eastAsia="zh-CN" w:bidi="ar-SA"/>
          <w14:textFill>
            <w14:solidFill>
              <w14:schemeClr w14:val="tx1"/>
            </w14:solidFill>
          </w14:textFill>
        </w:rPr>
      </w:pPr>
    </w:p>
    <w:p>
      <w:pPr>
        <w:pStyle w:val="2"/>
        <w:keepNext/>
        <w:keepLines/>
        <w:pageBreakBefore w:val="0"/>
        <w:widowControl w:val="0"/>
        <w:numPr>
          <w:ilvl w:val="0"/>
          <w:numId w:val="0"/>
        </w:numPr>
        <w:kinsoku/>
        <w:wordWrap/>
        <w:overflowPunct/>
        <w:topLinePunct w:val="0"/>
        <w:autoSpaceDE/>
        <w:autoSpaceDN/>
        <w:bidi w:val="0"/>
        <w:adjustRightInd/>
        <w:snapToGrid/>
        <w:spacing w:line="440" w:lineRule="exact"/>
        <w:ind w:firstLine="640" w:firstLineChars="200"/>
        <w:textAlignment w:val="auto"/>
        <w:rPr>
          <w:rFonts w:hint="eastAsia" w:ascii="仿宋_GB2312" w:hAnsi="Times New Roman" w:eastAsia="仿宋_GB2312" w:cs="Times New Roman"/>
          <w:b w:val="0"/>
          <w:color w:val="auto"/>
          <w:kern w:val="2"/>
          <w:sz w:val="32"/>
          <w:szCs w:val="28"/>
          <w:lang w:val="en-US" w:eastAsia="zh-CN" w:bidi="ar-SA"/>
        </w:rPr>
      </w:pPr>
    </w:p>
    <w:p>
      <w:pPr>
        <w:tabs>
          <w:tab w:val="left" w:pos="6300"/>
        </w:tabs>
        <w:snapToGrid w:val="0"/>
        <w:spacing w:line="312" w:lineRule="auto"/>
        <w:ind w:firstLine="640" w:firstLineChars="200"/>
        <w:rPr>
          <w:rFonts w:hint="eastAsia" w:ascii="仿宋_GB2312" w:hAnsi="Times New Roman" w:eastAsia="仿宋_GB2312" w:cs="Times New Roman"/>
          <w:color w:val="000000" w:themeColor="text1"/>
          <w:kern w:val="2"/>
          <w:sz w:val="32"/>
          <w:szCs w:val="28"/>
          <w:lang w:val="en-US" w:eastAsia="zh-CN" w:bidi="ar-SA"/>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pStyle w:val="5"/>
        <w:rPr>
          <w:rFonts w:hint="eastAsia"/>
          <w:color w:val="000000" w:themeColor="text1"/>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snapToGrid w:val="0"/>
        <w:spacing w:line="440" w:lineRule="exact"/>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ascii="仿宋_GB2312" w:hAnsi="Times New Roman" w:eastAsia="仿宋_GB2312" w:cs="Times New Roman"/>
          <w:color w:val="000000" w:themeColor="text1"/>
          <w:sz w:val="32"/>
          <w:szCs w:val="28"/>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二、法定代表人身份证明书（格式）</w:t>
      </w:r>
    </w:p>
    <w:p>
      <w:pPr>
        <w:tabs>
          <w:tab w:val="left" w:pos="6300"/>
        </w:tabs>
        <w:snapToGrid w:val="0"/>
        <w:spacing w:line="500" w:lineRule="exact"/>
        <w:ind w:firstLine="570"/>
        <w:rPr>
          <w:rFonts w:ascii="方正仿宋_GBK" w:hAnsi="宋体" w:eastAsia="方正仿宋_GBK" w:cs="Times New Roman"/>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采购项目名称：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采购项目编号：</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致：（采购单位名称）：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（法定代表人姓名）在（供应商名称）任（职务名称）职务，是（供应商名称）的法定代表人。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特此证明。</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（供应商公章）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年   月   日</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（附：法定代表人身份证复印件）</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三、法定代表人授权委托书（格式）</w:t>
      </w:r>
    </w:p>
    <w:p>
      <w:pPr>
        <w:tabs>
          <w:tab w:val="left" w:pos="6300"/>
        </w:tabs>
        <w:snapToGrid w:val="0"/>
        <w:spacing w:line="312" w:lineRule="auto"/>
        <w:jc w:val="center"/>
        <w:rPr>
          <w:rFonts w:ascii="宋体" w:hAnsi="宋体" w:cs="宋体"/>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法定代表人授权委托书</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（采购人名称）：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（法定代表人名称）是                    （供应商名称）的法定代表人，特授权          （被授权人姓名及身份证代码）电话          代表我单位全权办理上述项目的比价、签约等具体工作，并签署全部有关文件、协议及合同。</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我单位对被授权人的签字负全部责任。</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在撤消授权的书面通知以前，本授权书一直有效。被授权人在授权书有效期内签署的所有文件不因授权的撤消而失效。</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被授权人：                          法定代表人：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（签字或盖章）                     （签字或盖章）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（附：被授权人身份证正反面复印件）</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720" w:firstLineChars="21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（供应商公章）</w:t>
      </w:r>
    </w:p>
    <w:p>
      <w:pPr>
        <w:keepNext w:val="0"/>
        <w:keepLines w:val="0"/>
        <w:pageBreakBefore w:val="0"/>
        <w:widowControl w:val="0"/>
        <w:kinsoku/>
        <w:wordWrap/>
        <w:overflowPunct/>
        <w:topLinePunct w:val="0"/>
        <w:autoSpaceDE/>
        <w:autoSpaceDN/>
        <w:bidi w:val="0"/>
        <w:adjustRightInd/>
        <w:spacing w:line="560" w:lineRule="exact"/>
        <w:ind w:firstLine="6720" w:firstLineChars="21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年   月   日</w:t>
      </w:r>
      <w:r>
        <w:rPr>
          <w:rFonts w:hint="eastAsia" w:ascii="方正仿宋_GBK" w:hAnsi="宋体" w:eastAsia="方正仿宋_GBK" w:cs="宋体"/>
          <w:color w:val="000000" w:themeColor="text1"/>
          <w:sz w:val="32"/>
          <w:szCs w:val="32"/>
          <w14:textFill>
            <w14:solidFill>
              <w14:schemeClr w14:val="tx1"/>
            </w14:solidFill>
          </w14:textFill>
        </w:rPr>
        <w:t xml:space="preserve"> </w:t>
      </w:r>
    </w:p>
    <w:p>
      <w:pPr>
        <w:numPr>
          <w:ilvl w:val="0"/>
          <w:numId w:val="0"/>
        </w:numPr>
        <w:snapToGrid w:val="0"/>
        <w:spacing w:line="44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四、授权代表设备缴纳证明</w:t>
      </w:r>
    </w:p>
    <w:p>
      <w:pPr>
        <w:numPr>
          <w:ilvl w:val="0"/>
          <w:numId w:val="0"/>
        </w:numPr>
        <w:snapToGrid w:val="0"/>
        <w:spacing w:line="440" w:lineRule="exact"/>
        <w:ind w:firstLine="600" w:firstLineChars="200"/>
        <w:rPr>
          <w:rFonts w:hint="eastAsia" w:ascii="黑体" w:hAnsi="黑体" w:eastAsia="黑体" w:cs="黑体"/>
          <w:color w:val="auto"/>
          <w:sz w:val="32"/>
          <w:szCs w:val="32"/>
          <w:lang w:val="en-US" w:eastAsia="zh-CN"/>
        </w:rPr>
      </w:pPr>
      <w:r>
        <w:rPr>
          <w:rFonts w:hint="eastAsia" w:ascii="仿宋" w:hAnsi="仿宋" w:eastAsia="仿宋" w:cs="仿宋"/>
          <w:color w:val="auto"/>
          <w:sz w:val="30"/>
          <w:szCs w:val="30"/>
          <w:lang w:val="en-US" w:eastAsia="zh-CN"/>
        </w:rPr>
        <w:t>如授权代表参与投标的还需提供该项目授权代表近三个月缴纳社会保险参保证明。（法人参加的则不需要）</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w:t>
      </w:r>
      <w:r>
        <w:rPr>
          <w:rFonts w:hint="default" w:ascii="黑体" w:hAnsi="黑体" w:eastAsia="黑体" w:cs="黑体"/>
          <w:color w:val="000000" w:themeColor="text1"/>
          <w:sz w:val="32"/>
          <w:szCs w:val="32"/>
          <w:lang w:val="en-US" w:eastAsia="zh-CN"/>
          <w14:textFill>
            <w14:solidFill>
              <w14:schemeClr w14:val="tx1"/>
            </w14:solidFill>
          </w14:textFill>
        </w:rPr>
        <w:t>基本资格条件承诺函（格式）</w:t>
      </w:r>
    </w:p>
    <w:p>
      <w:pPr>
        <w:tabs>
          <w:tab w:val="left" w:pos="6300"/>
        </w:tabs>
        <w:snapToGrid w:val="0"/>
        <w:spacing w:line="500" w:lineRule="exact"/>
        <w:ind w:firstLine="480" w:firstLineChars="200"/>
        <w:rPr>
          <w:rFonts w:ascii="方正仿宋_GBK" w:hAnsi="宋体" w:eastAsia="方正仿宋_GBK" w:cs="Times New Roman"/>
          <w:color w:val="auto"/>
          <w:sz w:val="24"/>
          <w:szCs w:val="24"/>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基本资格条件承诺函</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致                （采购人名称）：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（供应商名称）郑重承诺：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1.我方具有良好的商业信誉和健全的财务会计制度，具有履行合同所必需的设备和专业技术能力，具</w:t>
      </w:r>
      <w:r>
        <w:rPr>
          <w:rFonts w:hint="eastAsia" w:ascii="仿宋_GB2312" w:hAnsi="Times New Roman" w:eastAsia="仿宋_GB2312" w:cs="Times New Roman"/>
          <w:b w:val="0"/>
          <w:color w:val="000000" w:themeColor="text1"/>
          <w:kern w:val="2"/>
          <w:sz w:val="32"/>
          <w:szCs w:val="28"/>
          <w:lang w:val="zh-CN" w:eastAsia="zh-CN" w:bidi="ar-SA"/>
          <w14:textFill>
            <w14:solidFill>
              <w14:schemeClr w14:val="tx1"/>
            </w14:solidFill>
          </w14:textFill>
        </w:rPr>
        <w:t>有依法缴纳税收和社会保障金的良好记录</w:t>
      </w: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，参加本项目采购活动前三年内无重大违法活动记录。</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2.我方未列入在信用中国网站（www.creditchina.gov.cn）“失信被执行人”、“重大税收违法案件当事人名单”中，也未列入中国政府采购网（www.ccgp.gov.cn）“政府采购严重违法失信行为记录名单”中。</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3.我方在采购项目评审（评标）环节结束后，随时接受采购人检查验证，配合提供相关证明材料，证明符合《中华人民共和国政府采购法》规定的供应商基本资格条件。</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我方对以上承诺负全部法律责任。</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特此承诺。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（供应商公章）</w:t>
      </w:r>
    </w:p>
    <w:p>
      <w:pPr>
        <w:keepNext w:val="0"/>
        <w:keepLines w:val="0"/>
        <w:pageBreakBefore w:val="0"/>
        <w:widowControl w:val="0"/>
        <w:kinsoku/>
        <w:wordWrap/>
        <w:overflowPunct/>
        <w:topLinePunct w:val="0"/>
        <w:autoSpaceDE/>
        <w:autoSpaceDN/>
        <w:bidi w:val="0"/>
        <w:adjustRightInd/>
        <w:spacing w:line="560" w:lineRule="exact"/>
        <w:ind w:firstLine="6080" w:firstLineChars="19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年   月   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六、承诺函</w:t>
      </w:r>
    </w:p>
    <w:p>
      <w:pPr>
        <w:spacing w:line="500" w:lineRule="exact"/>
        <w:ind w:firstLine="640" w:firstLineChars="200"/>
        <w:jc w:val="center"/>
        <w:rPr>
          <w:rFonts w:hint="eastAsia" w:ascii="方正仿宋_GBK" w:hAnsi="宋体" w:eastAsia="方正仿宋_GBK" w:cs="宋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承诺函</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（采购人名称）：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我方经详细研究，决定参加_______________（项目名称）的比价采购。</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1.我方愿意按照比价采购文件中的一切要求，提供本项目合格服务。</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2.我方现提交的响应文件为：响应文件正副本各一份。</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3.我方承诺：本次比价采购的有效期为90天。</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4.我方完全理解和接受贵方比价采购文件的一切规定和要求及评审办法。</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5.在整个比价采购过程中，我方若有违规行为，按照国家相关法律法规，接受处罚。</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6.我方若为成交公司，将按照比价结果签订合同，并且严格履行合同义务。本承诺函将成为合同不可分割的一部分，与合同具有同等的法律效力。</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7.我方理解，最低报价不是成交的唯一条件。</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供应商名称（公章）：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年    月   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8"/>
          <w:szCs w:val="28"/>
          <w14:textFill>
            <w14:solidFill>
              <w14:schemeClr w14:val="tx1"/>
            </w14:solidFill>
          </w14:textFill>
        </w:rPr>
      </w:pPr>
      <w:r>
        <w:rPr>
          <w:rFonts w:hint="eastAsia" w:ascii="仿宋_GB2312" w:hAnsi="宋体" w:eastAsia="仿宋_GB2312" w:cs="仿宋_GB2312"/>
          <w:color w:val="000000" w:themeColor="text1"/>
          <w:kern w:val="0"/>
          <w:sz w:val="28"/>
          <w:szCs w:val="28"/>
          <w:lang w:val="en-US" w:eastAsia="zh-CN"/>
          <w14:textFill>
            <w14:solidFill>
              <w14:schemeClr w14:val="tx1"/>
            </w14:solidFill>
          </w14:textFill>
        </w:rPr>
        <w:t>3</w:t>
      </w:r>
      <w:r>
        <w:rPr>
          <w:rFonts w:ascii="仿宋_GB2312" w:hAnsi="宋体" w:eastAsia="仿宋_GB2312" w:cs="仿宋_GB2312"/>
          <w:color w:val="000000" w:themeColor="text1"/>
          <w:kern w:val="0"/>
          <w:sz w:val="28"/>
          <w:szCs w:val="28"/>
          <w14:textFill>
            <w14:solidFill>
              <w14:schemeClr w14:val="tx1"/>
            </w14:solidFill>
          </w14:textFill>
        </w:rPr>
        <w:t>.</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文件技术部分</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spacing w:line="540" w:lineRule="exact"/>
        <w:jc w:val="center"/>
        <w:rPr>
          <w:rFonts w:ascii="方正小标宋简体" w:hAnsi="方正小标宋简体" w:eastAsia="方正小标宋简体" w:cs="Times New Roman"/>
          <w:b/>
          <w:bCs/>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6"/>
          <w:szCs w:val="36"/>
          <w14:textFill>
            <w14:solidFill>
              <w14:schemeClr w14:val="tx1"/>
            </w14:solidFill>
          </w14:textFill>
        </w:rPr>
        <w:t>技术文件部分</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color w:val="000000" w:themeColor="text1"/>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numPr>
          <w:ilvl w:val="0"/>
          <w:numId w:val="0"/>
        </w:numPr>
        <w:snapToGrid w:val="0"/>
        <w:spacing w:line="440" w:lineRule="exact"/>
        <w:ind w:firstLine="3093" w:firstLineChars="13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七、技术部分响应情况</w:t>
      </w:r>
    </w:p>
    <w:p>
      <w:pPr>
        <w:snapToGrid w:val="0"/>
        <w:spacing w:line="540" w:lineRule="exact"/>
        <w:ind w:firstLine="645"/>
        <w:rPr>
          <w:rFonts w:hint="eastAsia" w:ascii="仿宋_GB2312" w:hAnsi="Times New Roman" w:eastAsia="仿宋_GB2312" w:cs="Times New Roman"/>
          <w:color w:val="000000" w:themeColor="text1"/>
          <w:sz w:val="32"/>
          <w:szCs w:val="28"/>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w:t>
      </w:r>
      <w:r>
        <w:rPr>
          <w:rFonts w:hint="eastAsia" w:ascii="仿宋_GB2312" w:hAnsi="Times New Roman" w:eastAsia="仿宋_GB2312" w:cs="Times New Roman"/>
          <w:color w:val="000000" w:themeColor="text1"/>
          <w:sz w:val="32"/>
          <w:szCs w:val="28"/>
          <w:lang w:eastAsia="zh-CN"/>
          <w14:textFill>
            <w14:solidFill>
              <w14:schemeClr w14:val="tx1"/>
            </w14:solidFill>
          </w14:textFill>
        </w:rPr>
        <w:t>一</w:t>
      </w:r>
      <w:r>
        <w:rPr>
          <w:rFonts w:hint="eastAsia" w:ascii="仿宋_GB2312" w:hAnsi="Times New Roman" w:eastAsia="仿宋_GB2312" w:cs="Times New Roman"/>
          <w:color w:val="000000" w:themeColor="text1"/>
          <w:sz w:val="32"/>
          <w:szCs w:val="28"/>
          <w14:textFill>
            <w14:solidFill>
              <w14:schemeClr w14:val="tx1"/>
            </w14:solidFill>
          </w14:textFill>
        </w:rPr>
        <w:t>）技术需求和商务条款差异表(</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供应商</w:t>
      </w:r>
      <w:r>
        <w:rPr>
          <w:rFonts w:hint="eastAsia" w:ascii="仿宋_GB2312" w:hAnsi="Times New Roman" w:eastAsia="仿宋_GB2312" w:cs="Times New Roman"/>
          <w:color w:val="000000" w:themeColor="text1"/>
          <w:sz w:val="32"/>
          <w:szCs w:val="28"/>
          <w14:textFill>
            <w14:solidFill>
              <w14:schemeClr w14:val="tx1"/>
            </w14:solidFill>
          </w14:textFill>
        </w:rPr>
        <w:t>对</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参数</w:t>
      </w:r>
      <w:r>
        <w:rPr>
          <w:rFonts w:hint="eastAsia" w:ascii="仿宋_GB2312" w:hAnsi="Times New Roman" w:eastAsia="仿宋_GB2312" w:cs="Times New Roman"/>
          <w:color w:val="000000" w:themeColor="text1"/>
          <w:sz w:val="32"/>
          <w:szCs w:val="28"/>
          <w14:textFill>
            <w14:solidFill>
              <w14:schemeClr w14:val="tx1"/>
            </w14:solidFill>
          </w14:textFill>
        </w:rPr>
        <w:t>条款</w:t>
      </w:r>
      <w:r>
        <w:rPr>
          <w:rFonts w:hint="eastAsia" w:ascii="仿宋_GB2312" w:hAnsi="Times New Roman" w:eastAsia="仿宋_GB2312" w:cs="Times New Roman"/>
          <w:color w:val="000000" w:themeColor="text1"/>
          <w:sz w:val="32"/>
          <w:szCs w:val="28"/>
          <w:lang w:eastAsia="zh-CN"/>
          <w14:textFill>
            <w14:solidFill>
              <w14:schemeClr w14:val="tx1"/>
            </w14:solidFill>
          </w14:textFill>
        </w:rPr>
        <w:t>和商务条款</w:t>
      </w:r>
      <w:r>
        <w:rPr>
          <w:rFonts w:hint="eastAsia" w:ascii="仿宋_GB2312" w:hAnsi="Times New Roman" w:eastAsia="仿宋_GB2312" w:cs="Times New Roman"/>
          <w:color w:val="000000" w:themeColor="text1"/>
          <w:sz w:val="32"/>
          <w:szCs w:val="28"/>
          <w14:textFill>
            <w14:solidFill>
              <w14:schemeClr w14:val="tx1"/>
            </w14:solidFill>
          </w14:textFill>
        </w:rPr>
        <w:t>进行逐一应答，还需</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注明该条款在</w:t>
      </w:r>
      <w:r>
        <w:rPr>
          <w:rFonts w:hint="eastAsia" w:ascii="仿宋_GB2312" w:hAnsi="Times New Roman" w:eastAsia="仿宋_GB2312" w:cs="Times New Roman"/>
          <w:color w:val="000000" w:themeColor="text1"/>
          <w:sz w:val="32"/>
          <w:szCs w:val="28"/>
          <w:lang w:eastAsia="zh-CN"/>
          <w14:textFill>
            <w14:solidFill>
              <w14:schemeClr w14:val="tx1"/>
            </w14:solidFill>
          </w14:textFill>
        </w:rPr>
        <w:t>比价</w:t>
      </w:r>
      <w:r>
        <w:rPr>
          <w:rFonts w:hint="eastAsia" w:ascii="仿宋_GB2312" w:hAnsi="Times New Roman" w:eastAsia="仿宋_GB2312" w:cs="Times New Roman"/>
          <w:color w:val="000000" w:themeColor="text1"/>
          <w:sz w:val="32"/>
          <w:szCs w:val="28"/>
          <w14:textFill>
            <w14:solidFill>
              <w14:schemeClr w14:val="tx1"/>
            </w14:solidFill>
          </w14:textFill>
        </w:rPr>
        <w:t>文件</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中的</w:t>
      </w:r>
      <w:r>
        <w:rPr>
          <w:rFonts w:hint="eastAsia" w:ascii="仿宋_GB2312" w:hAnsi="Times New Roman" w:eastAsia="仿宋_GB2312" w:cs="Times New Roman"/>
          <w:color w:val="000000" w:themeColor="text1"/>
          <w:sz w:val="32"/>
          <w:szCs w:val="28"/>
          <w14:textFill>
            <w14:solidFill>
              <w14:schemeClr w14:val="tx1"/>
            </w14:solidFill>
          </w14:textFill>
        </w:rPr>
        <w:t>对应页码)；</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auto"/>
          <w:sz w:val="32"/>
          <w:szCs w:val="32"/>
          <w:lang w:val="en-US" w:eastAsia="zh-CN"/>
        </w:rPr>
      </w:pPr>
    </w:p>
    <w:p>
      <w:pPr>
        <w:tabs>
          <w:tab w:val="left" w:pos="567"/>
        </w:tabs>
        <w:adjustRightInd w:val="0"/>
        <w:spacing w:line="560" w:lineRule="exact"/>
        <w:ind w:firstLine="630"/>
        <w:rPr>
          <w:rFonts w:hint="eastAsia" w:ascii="仿宋_GB2312" w:hAnsi="Times New Roman" w:eastAsia="仿宋_GB2312" w:cs="Times New Roman"/>
          <w:color w:val="000000" w:themeColor="text1"/>
          <w:sz w:val="32"/>
          <w:szCs w:val="28"/>
          <w:lang w:eastAsia="zh-CN"/>
          <w14:textFill>
            <w14:solidFill>
              <w14:schemeClr w14:val="tx1"/>
            </w14:solidFill>
          </w14:textFill>
        </w:rPr>
      </w:pPr>
    </w:p>
    <w:p>
      <w:pPr>
        <w:tabs>
          <w:tab w:val="left" w:pos="567"/>
        </w:tabs>
        <w:adjustRightInd w:val="0"/>
        <w:spacing w:line="560" w:lineRule="exact"/>
        <w:ind w:firstLine="630"/>
        <w:rPr>
          <w:rFonts w:hint="eastAsia" w:ascii="仿宋_GB2312" w:hAnsi="Times New Roman" w:eastAsia="仿宋_GB2312" w:cs="Times New Roman"/>
          <w:color w:val="000000" w:themeColor="text1"/>
          <w:sz w:val="32"/>
          <w:szCs w:val="28"/>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ascii="仿宋_GB2312" w:hAnsi="Times New Roman" w:eastAsia="仿宋_GB2312" w:cs="Times New Roman"/>
          <w:color w:val="000000" w:themeColor="text1"/>
          <w:sz w:val="32"/>
          <w:szCs w:val="28"/>
          <w14:textFill>
            <w14:solidFill>
              <w14:schemeClr w14:val="tx1"/>
            </w14:solidFill>
          </w14:textFill>
        </w:rPr>
      </w:pPr>
      <w:r>
        <w:rPr>
          <w:rFonts w:hint="eastAsia" w:ascii="仿宋_GB2312" w:hAnsi="宋体" w:eastAsia="仿宋_GB2312" w:cs="Times New Roman"/>
          <w:color w:val="000000" w:themeColor="text1"/>
          <w:kern w:val="0"/>
          <w:sz w:val="28"/>
          <w:szCs w:val="28"/>
          <w14:textFill>
            <w14:solidFill>
              <w14:schemeClr w14:val="tx1"/>
            </w14:solidFill>
          </w14:textFill>
        </w:rPr>
        <w:t>技术</w:t>
      </w:r>
      <w:r>
        <w:rPr>
          <w:rFonts w:hint="eastAsia" w:ascii="仿宋_GB2312" w:hAnsi="宋体" w:eastAsia="仿宋_GB2312" w:cs="Times New Roman"/>
          <w:color w:val="000000" w:themeColor="text1"/>
          <w:kern w:val="0"/>
          <w:sz w:val="28"/>
          <w:szCs w:val="28"/>
          <w:lang w:eastAsia="zh-CN"/>
          <w14:textFill>
            <w14:solidFill>
              <w14:schemeClr w14:val="tx1"/>
            </w14:solidFill>
          </w14:textFill>
        </w:rPr>
        <w:t>部分响应文件</w:t>
      </w:r>
      <w:r>
        <w:rPr>
          <w:rFonts w:hint="eastAsia" w:ascii="仿宋_GB2312" w:hAnsi="宋体" w:eastAsia="仿宋_GB2312" w:cs="Times New Roman"/>
          <w:color w:val="000000" w:themeColor="text1"/>
          <w:kern w:val="0"/>
          <w:sz w:val="28"/>
          <w:szCs w:val="28"/>
          <w14:textFill>
            <w14:solidFill>
              <w14:schemeClr w14:val="tx1"/>
            </w14:solidFill>
          </w14:textFill>
        </w:rPr>
        <w:t>内容及格式</w:t>
      </w:r>
    </w:p>
    <w:p>
      <w:pPr>
        <w:snapToGrid w:val="0"/>
        <w:spacing w:line="540" w:lineRule="exact"/>
        <w:ind w:firstLine="645"/>
        <w:rPr>
          <w:rFonts w:hint="eastAsia" w:ascii="仿宋_GB2312" w:hAnsi="Times New Roman" w:eastAsia="仿宋_GB2312" w:cs="Times New Roman"/>
          <w:color w:val="000000" w:themeColor="text1"/>
          <w:sz w:val="32"/>
          <w:szCs w:val="28"/>
          <w:lang w:eastAsia="zh-CN"/>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w:t>
      </w:r>
      <w:r>
        <w:rPr>
          <w:rFonts w:hint="eastAsia" w:ascii="仿宋_GB2312" w:hAnsi="Times New Roman" w:eastAsia="仿宋_GB2312" w:cs="Times New Roman"/>
          <w:color w:val="000000" w:themeColor="text1"/>
          <w:sz w:val="32"/>
          <w:szCs w:val="28"/>
          <w:lang w:eastAsia="zh-CN"/>
          <w14:textFill>
            <w14:solidFill>
              <w14:schemeClr w14:val="tx1"/>
            </w14:solidFill>
          </w14:textFill>
        </w:rPr>
        <w:t>一</w:t>
      </w:r>
      <w:r>
        <w:rPr>
          <w:rFonts w:hint="eastAsia" w:ascii="仿宋_GB2312" w:hAnsi="Times New Roman" w:eastAsia="仿宋_GB2312" w:cs="Times New Roman"/>
          <w:color w:val="000000" w:themeColor="text1"/>
          <w:sz w:val="32"/>
          <w:szCs w:val="28"/>
          <w14:textFill>
            <w14:solidFill>
              <w14:schemeClr w14:val="tx1"/>
            </w14:solidFill>
          </w14:textFill>
        </w:rPr>
        <w:t>）技术需求和商务条款差异表(</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供应商</w:t>
      </w:r>
      <w:r>
        <w:rPr>
          <w:rFonts w:hint="eastAsia" w:ascii="仿宋_GB2312" w:hAnsi="Times New Roman" w:eastAsia="仿宋_GB2312" w:cs="Times New Roman"/>
          <w:color w:val="000000" w:themeColor="text1"/>
          <w:sz w:val="32"/>
          <w:szCs w:val="28"/>
          <w14:textFill>
            <w14:solidFill>
              <w14:schemeClr w14:val="tx1"/>
            </w14:solidFill>
          </w14:textFill>
        </w:rPr>
        <w:t>对</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参数</w:t>
      </w:r>
      <w:r>
        <w:rPr>
          <w:rFonts w:hint="eastAsia" w:ascii="仿宋_GB2312" w:hAnsi="Times New Roman" w:eastAsia="仿宋_GB2312" w:cs="Times New Roman"/>
          <w:color w:val="000000" w:themeColor="text1"/>
          <w:sz w:val="32"/>
          <w:szCs w:val="28"/>
          <w14:textFill>
            <w14:solidFill>
              <w14:schemeClr w14:val="tx1"/>
            </w14:solidFill>
          </w14:textFill>
        </w:rPr>
        <w:t>条款</w:t>
      </w:r>
      <w:r>
        <w:rPr>
          <w:rFonts w:hint="eastAsia" w:ascii="仿宋_GB2312" w:hAnsi="Times New Roman" w:eastAsia="仿宋_GB2312" w:cs="Times New Roman"/>
          <w:color w:val="000000" w:themeColor="text1"/>
          <w:sz w:val="32"/>
          <w:szCs w:val="28"/>
          <w:lang w:eastAsia="zh-CN"/>
          <w14:textFill>
            <w14:solidFill>
              <w14:schemeClr w14:val="tx1"/>
            </w14:solidFill>
          </w14:textFill>
        </w:rPr>
        <w:t>和商务条款</w:t>
      </w:r>
      <w:r>
        <w:rPr>
          <w:rFonts w:hint="eastAsia" w:ascii="仿宋_GB2312" w:hAnsi="Times New Roman" w:eastAsia="仿宋_GB2312" w:cs="Times New Roman"/>
          <w:color w:val="000000" w:themeColor="text1"/>
          <w:sz w:val="32"/>
          <w:szCs w:val="28"/>
          <w14:textFill>
            <w14:solidFill>
              <w14:schemeClr w14:val="tx1"/>
            </w14:solidFill>
          </w14:textFill>
        </w:rPr>
        <w:t>进行逐一应答，还需</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注明该条款在</w:t>
      </w:r>
      <w:r>
        <w:rPr>
          <w:rFonts w:hint="eastAsia" w:ascii="仿宋_GB2312" w:hAnsi="Times New Roman" w:eastAsia="仿宋_GB2312" w:cs="Times New Roman"/>
          <w:color w:val="000000" w:themeColor="text1"/>
          <w:sz w:val="32"/>
          <w:szCs w:val="28"/>
          <w:lang w:eastAsia="zh-CN"/>
          <w14:textFill>
            <w14:solidFill>
              <w14:schemeClr w14:val="tx1"/>
            </w14:solidFill>
          </w14:textFill>
        </w:rPr>
        <w:t>比价</w:t>
      </w:r>
      <w:r>
        <w:rPr>
          <w:rFonts w:hint="eastAsia" w:ascii="仿宋_GB2312" w:hAnsi="Times New Roman" w:eastAsia="仿宋_GB2312" w:cs="Times New Roman"/>
          <w:color w:val="000000" w:themeColor="text1"/>
          <w:sz w:val="32"/>
          <w:szCs w:val="28"/>
          <w14:textFill>
            <w14:solidFill>
              <w14:schemeClr w14:val="tx1"/>
            </w14:solidFill>
          </w14:textFill>
        </w:rPr>
        <w:t>文件</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中的</w:t>
      </w:r>
      <w:r>
        <w:rPr>
          <w:rFonts w:hint="eastAsia" w:ascii="仿宋_GB2312" w:hAnsi="Times New Roman" w:eastAsia="仿宋_GB2312" w:cs="Times New Roman"/>
          <w:color w:val="000000" w:themeColor="text1"/>
          <w:sz w:val="32"/>
          <w:szCs w:val="28"/>
          <w14:textFill>
            <w14:solidFill>
              <w14:schemeClr w14:val="tx1"/>
            </w14:solidFill>
          </w14:textFill>
        </w:rPr>
        <w:t>对应页码)；</w:t>
      </w:r>
    </w:p>
    <w:p>
      <w:pPr>
        <w:spacing w:line="540" w:lineRule="exact"/>
        <w:ind w:firstLine="3200" w:firstLineChars="1000"/>
        <w:rPr>
          <w:rFonts w:hint="eastAsia" w:ascii="仿宋_GB2312" w:hAnsi="Times New Roman" w:eastAsia="仿宋_GB2312" w:cs="Times New Roman"/>
          <w:color w:val="000000" w:themeColor="text1"/>
          <w:sz w:val="32"/>
          <w:szCs w:val="28"/>
          <w:lang w:eastAsia="zh-CN"/>
          <w14:textFill>
            <w14:solidFill>
              <w14:schemeClr w14:val="tx1"/>
            </w14:solidFill>
          </w14:textFill>
        </w:rPr>
      </w:pP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参数</w:t>
      </w:r>
      <w:r>
        <w:rPr>
          <w:rFonts w:hint="eastAsia" w:ascii="仿宋_GB2312" w:hAnsi="Times New Roman" w:eastAsia="仿宋_GB2312" w:cs="Times New Roman"/>
          <w:color w:val="000000" w:themeColor="text1"/>
          <w:sz w:val="32"/>
          <w:szCs w:val="28"/>
          <w:lang w:eastAsia="zh-CN"/>
          <w14:textFill>
            <w14:solidFill>
              <w14:schemeClr w14:val="tx1"/>
            </w14:solidFill>
          </w14:textFill>
        </w:rPr>
        <w:t>要求响应差异表</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项目编号：</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序号</w:t>
            </w:r>
          </w:p>
        </w:tc>
        <w:tc>
          <w:tcPr>
            <w:tcW w:w="2551"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采购需求</w:t>
            </w:r>
          </w:p>
        </w:tc>
        <w:tc>
          <w:tcPr>
            <w:tcW w:w="1985"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差异或响应</w:t>
            </w:r>
          </w:p>
        </w:tc>
        <w:tc>
          <w:tcPr>
            <w:tcW w:w="2268"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差异说明</w:t>
            </w:r>
          </w:p>
        </w:tc>
        <w:tc>
          <w:tcPr>
            <w:tcW w:w="1276"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比价</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bl>
    <w:p>
      <w:pPr>
        <w:spacing w:line="540" w:lineRule="exact"/>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注：1、应对</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技术要求</w:t>
      </w:r>
      <w:r>
        <w:rPr>
          <w:rFonts w:hint="eastAsia" w:ascii="方正仿宋_GBK" w:hAnsi="方正仿宋_GBK" w:eastAsia="方正仿宋_GBK" w:cs="方正仿宋_GBK"/>
          <w:bCs/>
          <w:color w:val="000000" w:themeColor="text1"/>
          <w:sz w:val="24"/>
          <w:szCs w:val="24"/>
          <w14:textFill>
            <w14:solidFill>
              <w14:schemeClr w14:val="tx1"/>
            </w14:solidFill>
          </w14:textFill>
        </w:rPr>
        <w:t>中的所有条款进行逐一应答，还需在“</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比价</w:t>
      </w:r>
      <w:r>
        <w:rPr>
          <w:rFonts w:hint="eastAsia" w:ascii="方正仿宋_GBK" w:hAnsi="方正仿宋_GBK" w:eastAsia="方正仿宋_GBK" w:cs="方正仿宋_GBK"/>
          <w:bCs/>
          <w:color w:val="000000" w:themeColor="text1"/>
          <w:sz w:val="24"/>
          <w:szCs w:val="24"/>
          <w14:textFill>
            <w14:solidFill>
              <w14:schemeClr w14:val="tx1"/>
            </w14:solidFill>
          </w14:textFill>
        </w:rPr>
        <w:t>文件对应页码”栏内写明技术支持文件的页码。</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2、若无差异，请在“响应或差异”处填写响应。</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3、若有差异，请在“响应或差异”处填写差异，</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技术要求</w:t>
      </w:r>
      <w:r>
        <w:rPr>
          <w:rFonts w:hint="eastAsia" w:ascii="方正仿宋_GBK" w:hAnsi="方正仿宋_GBK" w:eastAsia="方正仿宋_GBK" w:cs="方正仿宋_GBK"/>
          <w:bCs/>
          <w:color w:val="000000" w:themeColor="text1"/>
          <w:sz w:val="24"/>
          <w:szCs w:val="24"/>
          <w14:textFill>
            <w14:solidFill>
              <w14:schemeClr w14:val="tx1"/>
            </w14:solidFill>
          </w14:textFill>
        </w:rPr>
        <w:t>优于招标文件要求的在“差异原因”处填写正偏离；相应</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技术要求</w:t>
      </w:r>
      <w:r>
        <w:rPr>
          <w:rFonts w:hint="eastAsia" w:ascii="方正仿宋_GBK" w:hAnsi="方正仿宋_GBK" w:eastAsia="方正仿宋_GBK" w:cs="方正仿宋_GBK"/>
          <w:bCs/>
          <w:color w:val="000000" w:themeColor="text1"/>
          <w:sz w:val="24"/>
          <w:szCs w:val="24"/>
          <w14:textFill>
            <w14:solidFill>
              <w14:schemeClr w14:val="tx1"/>
            </w14:solidFill>
          </w14:textFill>
        </w:rPr>
        <w:t>低于招标文件要求的在“差异原因”处填写负偏离。</w:t>
      </w:r>
    </w:p>
    <w:p>
      <w:pPr>
        <w:numPr>
          <w:ilvl w:val="0"/>
          <w:numId w:val="0"/>
        </w:numPr>
        <w:snapToGrid w:val="0"/>
        <w:spacing w:line="440" w:lineRule="exact"/>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4、该表可扩展；</w:t>
      </w:r>
    </w:p>
    <w:p>
      <w:pPr>
        <w:spacing w:line="540" w:lineRule="exact"/>
        <w:ind w:firstLine="2880" w:firstLineChars="900"/>
        <w:rPr>
          <w:rFonts w:hint="eastAsia" w:ascii="仿宋_GB2312" w:hAnsi="Times New Roman" w:eastAsia="仿宋_GB2312" w:cs="Times New Roman"/>
          <w:color w:val="000000" w:themeColor="text1"/>
          <w:sz w:val="32"/>
          <w:szCs w:val="28"/>
          <w:lang w:eastAsia="zh-CN"/>
          <w14:textFill>
            <w14:solidFill>
              <w14:schemeClr w14:val="tx1"/>
            </w14:solidFill>
          </w14:textFill>
        </w:rPr>
      </w:pPr>
      <w:r>
        <w:rPr>
          <w:rFonts w:hint="eastAsia" w:ascii="仿宋_GB2312" w:hAnsi="Times New Roman" w:eastAsia="仿宋_GB2312" w:cs="Times New Roman"/>
          <w:color w:val="000000" w:themeColor="text1"/>
          <w:sz w:val="32"/>
          <w:szCs w:val="28"/>
          <w:lang w:eastAsia="zh-CN"/>
          <w14:textFill>
            <w14:solidFill>
              <w14:schemeClr w14:val="tx1"/>
            </w14:solidFill>
          </w14:textFill>
        </w:rPr>
        <w:t>商务条款响应差异表</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项目编号：</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项目名称：</w:t>
      </w:r>
    </w:p>
    <w:p>
      <w:pPr>
        <w:snapToGrid w:val="0"/>
        <w:spacing w:line="540" w:lineRule="exact"/>
        <w:ind w:firstLine="480" w:firstLineChars="20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序号</w:t>
            </w:r>
          </w:p>
        </w:tc>
        <w:tc>
          <w:tcPr>
            <w:tcW w:w="2551"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采购需求</w:t>
            </w:r>
          </w:p>
        </w:tc>
        <w:tc>
          <w:tcPr>
            <w:tcW w:w="1985"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差异或响应</w:t>
            </w:r>
          </w:p>
        </w:tc>
        <w:tc>
          <w:tcPr>
            <w:tcW w:w="2268"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差异说明</w:t>
            </w:r>
          </w:p>
        </w:tc>
        <w:tc>
          <w:tcPr>
            <w:tcW w:w="1276"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比价</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bl>
    <w:p>
      <w:pPr>
        <w:spacing w:line="540" w:lineRule="exact"/>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注：1、应对</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商务条款</w:t>
      </w:r>
      <w:r>
        <w:rPr>
          <w:rFonts w:hint="eastAsia" w:ascii="方正仿宋_GBK" w:hAnsi="方正仿宋_GBK" w:eastAsia="方正仿宋_GBK" w:cs="方正仿宋_GBK"/>
          <w:bCs/>
          <w:color w:val="000000" w:themeColor="text1"/>
          <w:sz w:val="24"/>
          <w:szCs w:val="24"/>
          <w14:textFill>
            <w14:solidFill>
              <w14:schemeClr w14:val="tx1"/>
            </w14:solidFill>
          </w14:textFill>
        </w:rPr>
        <w:t>中的所有条款进行逐一应答，还需在“</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比价</w:t>
      </w:r>
      <w:r>
        <w:rPr>
          <w:rFonts w:hint="eastAsia" w:ascii="方正仿宋_GBK" w:hAnsi="方正仿宋_GBK" w:eastAsia="方正仿宋_GBK" w:cs="方正仿宋_GBK"/>
          <w:bCs/>
          <w:color w:val="000000" w:themeColor="text1"/>
          <w:sz w:val="24"/>
          <w:szCs w:val="24"/>
          <w14:textFill>
            <w14:solidFill>
              <w14:schemeClr w14:val="tx1"/>
            </w14:solidFill>
          </w14:textFill>
        </w:rPr>
        <w:t>文件对应页码”栏内写明技术支持文件的页码。</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2、若无差异，请在“响应或差异”处填写响应。</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3、若有差异，请在“响应或差异”处填写差异，</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商务条款</w:t>
      </w:r>
      <w:r>
        <w:rPr>
          <w:rFonts w:hint="eastAsia" w:ascii="方正仿宋_GBK" w:hAnsi="方正仿宋_GBK" w:eastAsia="方正仿宋_GBK" w:cs="方正仿宋_GBK"/>
          <w:bCs/>
          <w:color w:val="000000" w:themeColor="text1"/>
          <w:sz w:val="24"/>
          <w:szCs w:val="24"/>
          <w14:textFill>
            <w14:solidFill>
              <w14:schemeClr w14:val="tx1"/>
            </w14:solidFill>
          </w14:textFill>
        </w:rPr>
        <w:t>优于招标文件要求的在“差异原因”处填写正偏离；相应</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商务条款</w:t>
      </w:r>
      <w:r>
        <w:rPr>
          <w:rFonts w:hint="eastAsia" w:ascii="方正仿宋_GBK" w:hAnsi="方正仿宋_GBK" w:eastAsia="方正仿宋_GBK" w:cs="方正仿宋_GBK"/>
          <w:bCs/>
          <w:color w:val="000000" w:themeColor="text1"/>
          <w:sz w:val="24"/>
          <w:szCs w:val="24"/>
          <w14:textFill>
            <w14:solidFill>
              <w14:schemeClr w14:val="tx1"/>
            </w14:solidFill>
          </w14:textFill>
        </w:rPr>
        <w:t>低于招标文件要求的在“差异原因”处填写负偏离。</w:t>
      </w:r>
    </w:p>
    <w:p>
      <w:pPr>
        <w:tabs>
          <w:tab w:val="left" w:pos="567"/>
        </w:tabs>
        <w:adjustRightInd w:val="0"/>
        <w:spacing w:line="520" w:lineRule="exact"/>
        <w:rPr>
          <w:rFonts w:hint="eastAsia" w:ascii="仿宋_GB2312" w:hAnsi="Times New Roman" w:eastAsia="仿宋_GB2312" w:cs="Times New Roman"/>
          <w:color w:val="000000" w:themeColor="text1"/>
          <w:sz w:val="32"/>
          <w:szCs w:val="28"/>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4、该表可扩展；</w:t>
      </w:r>
    </w:p>
    <w:p>
      <w:pPr>
        <w:tabs>
          <w:tab w:val="left" w:pos="567"/>
        </w:tabs>
        <w:adjustRightInd w:val="0"/>
        <w:spacing w:line="520" w:lineRule="exact"/>
        <w:ind w:firstLine="630"/>
        <w:rPr>
          <w:rFonts w:hint="eastAsia" w:ascii="仿宋_GB2312" w:hAnsi="Times New Roman" w:eastAsia="仿宋_GB2312" w:cs="Times New Roman"/>
          <w:color w:val="000000" w:themeColor="text1"/>
          <w:sz w:val="32"/>
          <w:szCs w:val="28"/>
          <w14:textFill>
            <w14:solidFill>
              <w14:schemeClr w14:val="tx1"/>
            </w14:solidFill>
          </w14:textFill>
        </w:rPr>
      </w:pPr>
    </w:p>
    <w:p>
      <w:pPr>
        <w:tabs>
          <w:tab w:val="left" w:pos="567"/>
        </w:tabs>
        <w:adjustRightInd w:val="0"/>
        <w:spacing w:line="520" w:lineRule="exact"/>
        <w:ind w:firstLine="630"/>
        <w:rPr>
          <w:rFonts w:ascii="仿宋_GB2312" w:hAnsi="Times New Roman" w:eastAsia="仿宋_GB2312" w:cs="Times New Roman"/>
          <w:color w:val="000000" w:themeColor="text1"/>
          <w:sz w:val="32"/>
          <w:szCs w:val="28"/>
          <w14:textFill>
            <w14:solidFill>
              <w14:schemeClr w14:val="tx1"/>
            </w14:solidFill>
          </w14:textFill>
        </w:rPr>
      </w:pPr>
    </w:p>
    <w:p>
      <w:pPr>
        <w:spacing w:line="540" w:lineRule="exact"/>
        <w:ind w:firstLine="2880" w:firstLineChars="900"/>
        <w:rPr>
          <w:rFonts w:hint="eastAsia" w:ascii="仿宋_GB2312" w:hAnsi="Times New Roman" w:eastAsia="仿宋_GB2312" w:cs="Times New Roman"/>
          <w:color w:val="000000" w:themeColor="text1"/>
          <w:sz w:val="32"/>
          <w:szCs w:val="28"/>
          <w:lang w:eastAsia="zh-CN"/>
          <w14:textFill>
            <w14:solidFill>
              <w14:schemeClr w14:val="tx1"/>
            </w14:solidFill>
          </w14:textFill>
        </w:rPr>
      </w:pPr>
    </w:p>
    <w:p>
      <w:pPr>
        <w:snapToGrid w:val="0"/>
        <w:spacing w:line="520" w:lineRule="exact"/>
        <w:rPr>
          <w:rFonts w:ascii="仿宋_GB2312" w:hAnsi="宋体" w:eastAsia="仿宋_GB2312" w:cs="Times New Roman"/>
          <w:color w:val="000000" w:themeColor="text1"/>
          <w:kern w:val="0"/>
          <w:sz w:val="28"/>
          <w:szCs w:val="28"/>
          <w14:textFill>
            <w14:solidFill>
              <w14:schemeClr w14:val="tx1"/>
            </w14:solidFill>
          </w14:textFill>
        </w:rPr>
      </w:pPr>
      <w:r>
        <w:rPr>
          <w:rFonts w:hint="eastAsia" w:ascii="仿宋_GB2312" w:hAnsi="宋体" w:eastAsia="仿宋_GB2312" w:cs="仿宋_GB2312"/>
          <w:color w:val="000000" w:themeColor="text1"/>
          <w:kern w:val="0"/>
          <w:sz w:val="28"/>
          <w:szCs w:val="28"/>
          <w:lang w:val="en-US" w:eastAsia="zh-CN"/>
          <w14:textFill>
            <w14:solidFill>
              <w14:schemeClr w14:val="tx1"/>
            </w14:solidFill>
          </w14:textFill>
        </w:rPr>
        <w:t>4</w:t>
      </w:r>
      <w:r>
        <w:rPr>
          <w:rFonts w:ascii="仿宋_GB2312" w:hAnsi="宋体" w:eastAsia="仿宋_GB2312" w:cs="仿宋_GB2312"/>
          <w:color w:val="000000" w:themeColor="text1"/>
          <w:kern w:val="0"/>
          <w:sz w:val="28"/>
          <w:szCs w:val="28"/>
          <w14:textFill>
            <w14:solidFill>
              <w14:schemeClr w14:val="tx1"/>
            </w14:solidFill>
          </w14:textFill>
        </w:rPr>
        <w:t>.</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文件报价部分</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spacing w:line="540" w:lineRule="exact"/>
        <w:jc w:val="center"/>
        <w:rPr>
          <w:rFonts w:ascii="方正小标宋简体" w:hAnsi="方正小标宋简体" w:eastAsia="方正小标宋简体" w:cs="Times New Roman"/>
          <w:b/>
          <w:bCs/>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6"/>
          <w:szCs w:val="36"/>
          <w14:textFill>
            <w14:solidFill>
              <w14:schemeClr w14:val="tx1"/>
            </w14:solidFill>
          </w14:textFill>
        </w:rPr>
        <w:t>报价文件部分</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pStyle w:val="4"/>
        <w:jc w:val="both"/>
        <w:rPr>
          <w:color w:val="000000" w:themeColor="text1"/>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numPr>
          <w:ilvl w:val="0"/>
          <w:numId w:val="0"/>
        </w:numPr>
        <w:snapToGrid w:val="0"/>
        <w:spacing w:line="440" w:lineRule="exact"/>
        <w:ind w:firstLine="3331" w:firstLineChars="14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方正仿宋_GBK" w:hAnsi="宋体" w:eastAsia="方正仿宋_GBK" w:cs="宋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八、项目报价</w:t>
      </w:r>
    </w:p>
    <w:p>
      <w:pPr>
        <w:spacing w:line="540" w:lineRule="exact"/>
        <w:rPr>
          <w:rFonts w:hint="eastAsia" w:ascii="方正仿宋_GBK" w:hAnsi="宋体" w:eastAsia="方正仿宋_GBK" w:cs="宋体"/>
          <w:color w:val="000000" w:themeColor="text1"/>
          <w:sz w:val="24"/>
          <w:szCs w:val="24"/>
          <w:lang w:val="en-US" w:eastAsia="zh-CN"/>
          <w14:textFill>
            <w14:solidFill>
              <w14:schemeClr w14:val="tx1"/>
            </w14:solidFill>
          </w14:textFill>
        </w:rPr>
      </w:pPr>
    </w:p>
    <w:p>
      <w:pPr>
        <w:spacing w:line="540" w:lineRule="exact"/>
        <w:rPr>
          <w:rFonts w:ascii="仿宋_GB2312" w:hAnsi="Times New Roman" w:eastAsia="仿宋_GB2312" w:cs="Times New Roman"/>
          <w:color w:val="auto"/>
          <w:spacing w:val="20"/>
          <w:kern w:val="0"/>
          <w:sz w:val="32"/>
          <w:szCs w:val="32"/>
        </w:rPr>
      </w:pPr>
      <w:r>
        <w:rPr>
          <w:rFonts w:hint="eastAsia" w:ascii="方正仿宋_GBK" w:hAnsi="宋体" w:eastAsia="方正仿宋_GBK" w:cs="宋体"/>
          <w:color w:val="auto"/>
          <w:sz w:val="32"/>
          <w:szCs w:val="32"/>
          <w:lang w:val="en-US" w:eastAsia="zh-CN"/>
        </w:rPr>
        <w:t>统一折扣率：</w:t>
      </w:r>
      <w:r>
        <w:rPr>
          <w:rFonts w:hint="eastAsia" w:ascii="方正仿宋_GBK" w:hAnsi="宋体" w:eastAsia="方正仿宋_GBK" w:cs="宋体"/>
          <w:color w:val="auto"/>
          <w:sz w:val="32"/>
          <w:szCs w:val="32"/>
          <w:u w:val="single"/>
          <w:lang w:val="en-US" w:eastAsia="zh-CN"/>
        </w:rPr>
        <w:t xml:space="preserve">          </w:t>
      </w:r>
      <w:r>
        <w:rPr>
          <w:rFonts w:hint="eastAsia" w:ascii="方正仿宋_GBK" w:hAnsi="宋体" w:eastAsia="方正仿宋_GBK" w:cs="宋体"/>
          <w:color w:val="auto"/>
          <w:sz w:val="32"/>
          <w:szCs w:val="32"/>
          <w:u w:val="none"/>
          <w:lang w:val="en-US" w:eastAsia="zh-CN"/>
        </w:rPr>
        <w:t>（备注：不得高于100%）</w:t>
      </w:r>
    </w:p>
    <w:p>
      <w:pPr>
        <w:spacing w:line="540" w:lineRule="exact"/>
        <w:rPr>
          <w:rFonts w:ascii="仿宋_GB2312" w:hAnsi="Times New Roman" w:eastAsia="仿宋_GB2312" w:cs="Times New Roman"/>
          <w:color w:val="auto"/>
          <w:spacing w:val="20"/>
          <w:kern w:val="0"/>
          <w:sz w:val="32"/>
          <w:szCs w:val="32"/>
        </w:rPr>
      </w:pPr>
    </w:p>
    <w:tbl>
      <w:tblPr>
        <w:tblStyle w:val="13"/>
        <w:tblpPr w:leftFromText="180" w:rightFromText="180" w:vertAnchor="text" w:horzAnchor="page" w:tblpX="1320" w:tblpY="164"/>
        <w:tblOverlap w:val="never"/>
        <w:tblW w:w="91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978"/>
        <w:gridCol w:w="1687"/>
        <w:gridCol w:w="1770"/>
        <w:gridCol w:w="960"/>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名称</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规格</w:t>
            </w:r>
            <w:r>
              <w:rPr>
                <w:rFonts w:hint="eastAsia" w:ascii="宋体" w:hAnsi="宋体" w:cs="宋体"/>
                <w:b/>
                <w:bCs/>
                <w:i w:val="0"/>
                <w:iCs w:val="0"/>
                <w:color w:val="auto"/>
                <w:kern w:val="0"/>
                <w:sz w:val="21"/>
                <w:szCs w:val="21"/>
                <w:u w:val="none"/>
                <w:lang w:val="en-US" w:eastAsia="zh-CN" w:bidi="ar"/>
              </w:rPr>
              <w:t>尺寸（mm）</w:t>
            </w:r>
          </w:p>
        </w:tc>
        <w:tc>
          <w:tcPr>
            <w:tcW w:w="177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 xml:space="preserve">最高限价     </w:t>
            </w:r>
          </w:p>
        </w:tc>
        <w:tc>
          <w:tcPr>
            <w:tcW w:w="960"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cs="宋体"/>
                <w:b/>
                <w:bCs/>
                <w:i w:val="0"/>
                <w:iCs w:val="0"/>
                <w:color w:val="auto"/>
                <w:sz w:val="21"/>
                <w:szCs w:val="21"/>
                <w:u w:val="none"/>
                <w:lang w:val="en-US" w:eastAsia="zh-CN"/>
              </w:rPr>
              <w:t>统一折扣率</w:t>
            </w:r>
          </w:p>
        </w:tc>
        <w:tc>
          <w:tcPr>
            <w:tcW w:w="1950" w:type="dxa"/>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cs="宋体"/>
                <w:b/>
                <w:bCs/>
                <w:i w:val="0"/>
                <w:iCs w:val="0"/>
                <w:color w:val="auto"/>
                <w:kern w:val="0"/>
                <w:sz w:val="21"/>
                <w:szCs w:val="21"/>
                <w:u w:val="none"/>
                <w:lang w:val="en-US" w:eastAsia="zh-CN" w:bidi="ar"/>
              </w:rPr>
              <w:t>折后价（元）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bookmarkStart w:id="2" w:name="_GoBack" w:colFirst="4" w:colLast="4"/>
            <w:r>
              <w:rPr>
                <w:rFonts w:hint="eastAsia" w:ascii="宋体" w:hAnsi="宋体" w:eastAsia="宋体" w:cs="宋体"/>
                <w:i w:val="0"/>
                <w:iCs w:val="0"/>
                <w:color w:val="auto"/>
                <w:kern w:val="0"/>
                <w:sz w:val="22"/>
                <w:szCs w:val="22"/>
                <w:u w:val="none"/>
                <w:lang w:val="en-US" w:eastAsia="zh-CN" w:bidi="ar"/>
              </w:rPr>
              <w:t>1</w:t>
            </w:r>
          </w:p>
        </w:tc>
        <w:tc>
          <w:tcPr>
            <w:tcW w:w="1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办公椅（电脑椅）</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605*480*930</w:t>
            </w:r>
          </w:p>
        </w:tc>
        <w:tc>
          <w:tcPr>
            <w:tcW w:w="1770" w:type="dxa"/>
            <w:tcBorders>
              <w:top w:val="single" w:color="000000" w:sz="4" w:space="0"/>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260</w:t>
            </w:r>
          </w:p>
        </w:tc>
        <w:tc>
          <w:tcPr>
            <w:tcW w:w="960" w:type="dxa"/>
            <w:vMerge w:val="restart"/>
            <w:tcBorders>
              <w:top w:val="single" w:color="auto" w:sz="4" w:space="0"/>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p>
        </w:tc>
      </w:tr>
      <w:bookmarkEnd w:id="2"/>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7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 xml:space="preserve"> 会议椅（病人就诊椅）</w:t>
            </w:r>
          </w:p>
        </w:tc>
        <w:tc>
          <w:tcPr>
            <w:tcW w:w="168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480*500*900</w:t>
            </w:r>
          </w:p>
        </w:tc>
        <w:tc>
          <w:tcPr>
            <w:tcW w:w="1770" w:type="dxa"/>
            <w:tcBorders>
              <w:top w:val="single" w:color="000000"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230</w:t>
            </w:r>
          </w:p>
        </w:tc>
        <w:tc>
          <w:tcPr>
            <w:tcW w:w="960"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w:t>
            </w:r>
          </w:p>
        </w:tc>
        <w:tc>
          <w:tcPr>
            <w:tcW w:w="1978"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其他椅凳类（B超椅)</w:t>
            </w:r>
          </w:p>
        </w:tc>
        <w:tc>
          <w:tcPr>
            <w:tcW w:w="1687"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490*400*1000</w:t>
            </w:r>
          </w:p>
        </w:tc>
        <w:tc>
          <w:tcPr>
            <w:tcW w:w="17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620</w:t>
            </w:r>
          </w:p>
        </w:tc>
        <w:tc>
          <w:tcPr>
            <w:tcW w:w="960"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4</w:t>
            </w:r>
          </w:p>
        </w:tc>
        <w:tc>
          <w:tcPr>
            <w:tcW w:w="1978"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其他椅凳类(实木独凳)</w:t>
            </w:r>
          </w:p>
        </w:tc>
        <w:tc>
          <w:tcPr>
            <w:tcW w:w="1687"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350*350*450</w:t>
            </w:r>
          </w:p>
        </w:tc>
        <w:tc>
          <w:tcPr>
            <w:tcW w:w="17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80</w:t>
            </w:r>
          </w:p>
        </w:tc>
        <w:tc>
          <w:tcPr>
            <w:tcW w:w="960"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5</w:t>
            </w:r>
          </w:p>
        </w:tc>
        <w:tc>
          <w:tcPr>
            <w:tcW w:w="1978"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其他椅凳类(升降圆凳)</w:t>
            </w:r>
          </w:p>
        </w:tc>
        <w:tc>
          <w:tcPr>
            <w:tcW w:w="1687"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凳面直径330</w:t>
            </w:r>
          </w:p>
        </w:tc>
        <w:tc>
          <w:tcPr>
            <w:tcW w:w="17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180</w:t>
            </w:r>
          </w:p>
        </w:tc>
        <w:tc>
          <w:tcPr>
            <w:tcW w:w="960"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6</w:t>
            </w:r>
          </w:p>
        </w:tc>
        <w:tc>
          <w:tcPr>
            <w:tcW w:w="1978"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其他椅凳类(休闲椅)</w:t>
            </w:r>
          </w:p>
        </w:tc>
        <w:tc>
          <w:tcPr>
            <w:tcW w:w="1687"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580*600*710</w:t>
            </w:r>
          </w:p>
        </w:tc>
        <w:tc>
          <w:tcPr>
            <w:tcW w:w="17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800</w:t>
            </w:r>
          </w:p>
        </w:tc>
        <w:tc>
          <w:tcPr>
            <w:tcW w:w="960" w:type="dxa"/>
            <w:vMerge w:val="continue"/>
            <w:tcBorders>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bl>
    <w:p/>
    <w:p>
      <w:pPr>
        <w:pStyle w:val="2"/>
      </w:pPr>
    </w:p>
    <w:p>
      <w:pPr>
        <w:numPr>
          <w:ilvl w:val="0"/>
          <w:numId w:val="0"/>
        </w:numPr>
        <w:spacing w:line="500" w:lineRule="exact"/>
        <w:jc w:val="both"/>
        <w:rPr>
          <w:rFonts w:hint="eastAsia" w:ascii="方正仿宋_GBK" w:hAnsi="宋体" w:eastAsia="方正仿宋_GBK" w:cs="宋体"/>
          <w:color w:val="auto"/>
          <w:sz w:val="32"/>
          <w:szCs w:val="32"/>
        </w:rPr>
      </w:pPr>
    </w:p>
    <w:p>
      <w:pPr>
        <w:numPr>
          <w:ilvl w:val="0"/>
          <w:numId w:val="0"/>
        </w:numPr>
        <w:spacing w:line="500" w:lineRule="exact"/>
        <w:jc w:val="both"/>
        <w:rPr>
          <w:rFonts w:hint="eastAsia" w:ascii="方正仿宋_GBK" w:hAnsi="宋体" w:eastAsia="方正仿宋_GBK" w:cs="宋体"/>
          <w:color w:val="auto"/>
          <w:sz w:val="32"/>
          <w:szCs w:val="32"/>
        </w:rPr>
      </w:pPr>
    </w:p>
    <w:p>
      <w:pPr>
        <w:numPr>
          <w:ilvl w:val="0"/>
          <w:numId w:val="0"/>
        </w:numPr>
        <w:spacing w:line="500" w:lineRule="exact"/>
        <w:jc w:val="both"/>
        <w:rPr>
          <w:rFonts w:hint="eastAsia" w:ascii="方正仿宋_GBK" w:hAnsi="宋体" w:eastAsia="方正仿宋_GBK" w:cs="宋体"/>
          <w:color w:val="auto"/>
          <w:sz w:val="32"/>
          <w:szCs w:val="32"/>
        </w:rPr>
      </w:pPr>
      <w:r>
        <w:rPr>
          <w:rFonts w:hint="eastAsia" w:ascii="方正仿宋_GBK" w:hAnsi="宋体" w:eastAsia="方正仿宋_GBK" w:cs="宋体"/>
          <w:color w:val="auto"/>
          <w:sz w:val="32"/>
          <w:szCs w:val="32"/>
        </w:rPr>
        <w:t>注：本表</w:t>
      </w:r>
      <w:r>
        <w:rPr>
          <w:rFonts w:hint="eastAsia" w:ascii="方正仿宋_GBK" w:hAnsi="宋体" w:eastAsia="方正仿宋_GBK" w:cs="宋体"/>
          <w:color w:val="auto"/>
          <w:sz w:val="32"/>
          <w:szCs w:val="32"/>
          <w:lang w:eastAsia="zh-CN"/>
        </w:rPr>
        <w:t>须</w:t>
      </w:r>
      <w:r>
        <w:rPr>
          <w:rFonts w:hint="eastAsia" w:ascii="方正仿宋_GBK" w:hAnsi="宋体" w:eastAsia="方正仿宋_GBK" w:cs="宋体"/>
          <w:color w:val="auto"/>
          <w:sz w:val="32"/>
          <w:szCs w:val="32"/>
        </w:rPr>
        <w:t>逐页盖章。</w:t>
      </w:r>
    </w:p>
    <w:p>
      <w:pPr>
        <w:rPr>
          <w:color w:val="auto"/>
        </w:rPr>
      </w:pPr>
    </w:p>
    <w:p>
      <w:pPr>
        <w:pStyle w:val="5"/>
        <w:rPr>
          <w:color w:val="auto"/>
        </w:rPr>
      </w:pPr>
    </w:p>
    <w:p>
      <w:pPr>
        <w:numPr>
          <w:ilvl w:val="0"/>
          <w:numId w:val="0"/>
        </w:numPr>
        <w:spacing w:line="500" w:lineRule="exact"/>
        <w:ind w:left="5110" w:leftChars="1976" w:hanging="960" w:hangingChars="300"/>
        <w:jc w:val="both"/>
        <w:rPr>
          <w:rFonts w:hint="eastAsia" w:ascii="方正仿宋_GBK" w:hAnsi="宋体" w:eastAsia="方正仿宋_GBK" w:cs="宋体"/>
          <w:color w:val="auto"/>
          <w:sz w:val="32"/>
          <w:szCs w:val="32"/>
        </w:rPr>
      </w:pPr>
      <w:r>
        <w:rPr>
          <w:rFonts w:hint="eastAsia" w:ascii="方正仿宋_GBK" w:hAnsi="宋体" w:eastAsia="方正仿宋_GBK" w:cs="宋体"/>
          <w:color w:val="auto"/>
          <w:sz w:val="32"/>
          <w:szCs w:val="32"/>
        </w:rPr>
        <w:t>供应商名称（公章）：</w:t>
      </w:r>
    </w:p>
    <w:p>
      <w:pPr>
        <w:rPr>
          <w:color w:val="000000" w:themeColor="text1"/>
          <w14:textFill>
            <w14:solidFill>
              <w14:schemeClr w14:val="tx1"/>
            </w14:solidFill>
          </w14:textFill>
        </w:rPr>
      </w:pPr>
      <w:r>
        <w:rPr>
          <w:rFonts w:hint="eastAsia" w:ascii="方正仿宋_GBK" w:hAnsi="宋体" w:eastAsia="方正仿宋_GBK" w:cs="宋体"/>
          <w:color w:val="auto"/>
          <w:sz w:val="32"/>
          <w:szCs w:val="32"/>
          <w:lang w:val="en-US" w:eastAsia="zh-CN"/>
        </w:rPr>
        <w:t xml:space="preserve">                            年    月    日</w:t>
      </w:r>
    </w:p>
    <w:sectPr>
      <w:headerReference r:id="rId5" w:type="default"/>
      <w:footerReference r:id="rId6" w:type="default"/>
      <w:pgSz w:w="11906" w:h="16838"/>
      <w:pgMar w:top="1553" w:right="1576" w:bottom="1553"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MingLiUfalt">
    <w:altName w:val="MingLiU-ExtB"/>
    <w:panose1 w:val="00000000000000000000"/>
    <w:charset w:val="88"/>
    <w:family w:val="auto"/>
    <w:pitch w:val="default"/>
    <w:sig w:usb0="00000000" w:usb1="00000000" w:usb2="00000010" w:usb3="00000000" w:csb0="0010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ind w:firstLine="2700" w:firstLineChars="1500"/>
      <w:rPr>
        <w:rFonts w:hint="default" w:eastAsia="宋体"/>
        <w:lang w:val="en-US" w:eastAsia="zh-CN"/>
      </w:rPr>
    </w:pPr>
    <w:r>
      <w:rPr>
        <w:rFonts w:hint="eastAsia"/>
        <w:lang w:val="en-US" w:eastAsia="zh-CN"/>
      </w:rPr>
      <w:t>重庆市巴南区第二人民医院</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jc w:val="center"/>
      <w:rPr>
        <w:rFonts w:hint="default" w:eastAsia="宋体"/>
        <w:lang w:val="en-US" w:eastAsia="zh-CN"/>
      </w:rPr>
    </w:pPr>
    <w:r>
      <w:rPr>
        <w:rFonts w:hint="eastAsia"/>
        <w:lang w:val="en-US" w:eastAsia="zh-CN"/>
      </w:rPr>
      <w:t>重庆市巴南区第二人民医院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48F6"/>
    <w:rsid w:val="00317AC7"/>
    <w:rsid w:val="00366D89"/>
    <w:rsid w:val="00847B94"/>
    <w:rsid w:val="00A178AA"/>
    <w:rsid w:val="00AF7897"/>
    <w:rsid w:val="00B55593"/>
    <w:rsid w:val="00C61971"/>
    <w:rsid w:val="01113E1F"/>
    <w:rsid w:val="015B78EE"/>
    <w:rsid w:val="017D4A75"/>
    <w:rsid w:val="01A75F85"/>
    <w:rsid w:val="02034262"/>
    <w:rsid w:val="021B4DD6"/>
    <w:rsid w:val="02373CC4"/>
    <w:rsid w:val="023F09D4"/>
    <w:rsid w:val="026001FD"/>
    <w:rsid w:val="02B26E88"/>
    <w:rsid w:val="02E312A6"/>
    <w:rsid w:val="02EF14EF"/>
    <w:rsid w:val="03043F03"/>
    <w:rsid w:val="035537A6"/>
    <w:rsid w:val="0370288D"/>
    <w:rsid w:val="03DB2515"/>
    <w:rsid w:val="046A6A32"/>
    <w:rsid w:val="04842BB6"/>
    <w:rsid w:val="048B7202"/>
    <w:rsid w:val="04C57F01"/>
    <w:rsid w:val="053111F0"/>
    <w:rsid w:val="06195271"/>
    <w:rsid w:val="062E4E7D"/>
    <w:rsid w:val="06494D21"/>
    <w:rsid w:val="06896731"/>
    <w:rsid w:val="06A31C32"/>
    <w:rsid w:val="06D6522D"/>
    <w:rsid w:val="07402EA4"/>
    <w:rsid w:val="078C3770"/>
    <w:rsid w:val="078E56FE"/>
    <w:rsid w:val="07BB3959"/>
    <w:rsid w:val="07EF202F"/>
    <w:rsid w:val="084D360D"/>
    <w:rsid w:val="088223A9"/>
    <w:rsid w:val="0888740E"/>
    <w:rsid w:val="08986A98"/>
    <w:rsid w:val="08A75C6F"/>
    <w:rsid w:val="08E104C7"/>
    <w:rsid w:val="09365590"/>
    <w:rsid w:val="0949650D"/>
    <w:rsid w:val="098F7494"/>
    <w:rsid w:val="09953C17"/>
    <w:rsid w:val="099E023E"/>
    <w:rsid w:val="09A034A4"/>
    <w:rsid w:val="09B238D6"/>
    <w:rsid w:val="09C821BF"/>
    <w:rsid w:val="09DB7AF0"/>
    <w:rsid w:val="09EB53A5"/>
    <w:rsid w:val="0A7A2C6E"/>
    <w:rsid w:val="0A7D7FBD"/>
    <w:rsid w:val="0AB45C5E"/>
    <w:rsid w:val="0B0A726C"/>
    <w:rsid w:val="0B1F3A44"/>
    <w:rsid w:val="0B4B5097"/>
    <w:rsid w:val="0B6825B7"/>
    <w:rsid w:val="0B6D7671"/>
    <w:rsid w:val="0B7162D3"/>
    <w:rsid w:val="0B84312E"/>
    <w:rsid w:val="0B9B1B1F"/>
    <w:rsid w:val="0BC5500F"/>
    <w:rsid w:val="0C1D2B0D"/>
    <w:rsid w:val="0C467FF4"/>
    <w:rsid w:val="0C5B6D92"/>
    <w:rsid w:val="0CAD5475"/>
    <w:rsid w:val="0CCB5D63"/>
    <w:rsid w:val="0D3A117D"/>
    <w:rsid w:val="0D3B1C3A"/>
    <w:rsid w:val="0D5841BD"/>
    <w:rsid w:val="0D841C9B"/>
    <w:rsid w:val="0E863A59"/>
    <w:rsid w:val="0EF9760E"/>
    <w:rsid w:val="0FB8768A"/>
    <w:rsid w:val="0FC10169"/>
    <w:rsid w:val="0FC7598C"/>
    <w:rsid w:val="10091E0C"/>
    <w:rsid w:val="104A3CD1"/>
    <w:rsid w:val="10F12089"/>
    <w:rsid w:val="113F1598"/>
    <w:rsid w:val="116A5A0C"/>
    <w:rsid w:val="1186571D"/>
    <w:rsid w:val="11ED7ED4"/>
    <w:rsid w:val="11F049C1"/>
    <w:rsid w:val="11F071D0"/>
    <w:rsid w:val="120E650B"/>
    <w:rsid w:val="124E53AE"/>
    <w:rsid w:val="1288072B"/>
    <w:rsid w:val="12946320"/>
    <w:rsid w:val="12B25538"/>
    <w:rsid w:val="12C34547"/>
    <w:rsid w:val="130576A8"/>
    <w:rsid w:val="1312540B"/>
    <w:rsid w:val="13A86C29"/>
    <w:rsid w:val="13B1150F"/>
    <w:rsid w:val="13CB3D0F"/>
    <w:rsid w:val="13F92C1A"/>
    <w:rsid w:val="140263D0"/>
    <w:rsid w:val="14355834"/>
    <w:rsid w:val="143B3B77"/>
    <w:rsid w:val="14514C8D"/>
    <w:rsid w:val="146731A2"/>
    <w:rsid w:val="14794150"/>
    <w:rsid w:val="14C2077F"/>
    <w:rsid w:val="154B6D8C"/>
    <w:rsid w:val="15A144E9"/>
    <w:rsid w:val="15E01B62"/>
    <w:rsid w:val="15F03731"/>
    <w:rsid w:val="162837A2"/>
    <w:rsid w:val="164E6BE5"/>
    <w:rsid w:val="16830C30"/>
    <w:rsid w:val="16BB34D0"/>
    <w:rsid w:val="16C162CB"/>
    <w:rsid w:val="1775200F"/>
    <w:rsid w:val="177A4460"/>
    <w:rsid w:val="17A70214"/>
    <w:rsid w:val="17AD2CF8"/>
    <w:rsid w:val="18252A69"/>
    <w:rsid w:val="183E3DA7"/>
    <w:rsid w:val="18D75BCD"/>
    <w:rsid w:val="18DF0D30"/>
    <w:rsid w:val="18E4289C"/>
    <w:rsid w:val="18F17989"/>
    <w:rsid w:val="1931728F"/>
    <w:rsid w:val="19345844"/>
    <w:rsid w:val="197E522C"/>
    <w:rsid w:val="1A4D7C10"/>
    <w:rsid w:val="1A515BCF"/>
    <w:rsid w:val="1A5F47FD"/>
    <w:rsid w:val="1AAF5EB8"/>
    <w:rsid w:val="1AD81100"/>
    <w:rsid w:val="1B1B69AA"/>
    <w:rsid w:val="1B642113"/>
    <w:rsid w:val="1B794DC9"/>
    <w:rsid w:val="1BF75894"/>
    <w:rsid w:val="1C7A7261"/>
    <w:rsid w:val="1C7B5167"/>
    <w:rsid w:val="1CA363E6"/>
    <w:rsid w:val="1CC546FF"/>
    <w:rsid w:val="1CED2106"/>
    <w:rsid w:val="1D037076"/>
    <w:rsid w:val="1D517C29"/>
    <w:rsid w:val="1D616197"/>
    <w:rsid w:val="1D770278"/>
    <w:rsid w:val="1D9C7E02"/>
    <w:rsid w:val="1DC5517E"/>
    <w:rsid w:val="1DE43BC8"/>
    <w:rsid w:val="1E7B6617"/>
    <w:rsid w:val="1E8E46FB"/>
    <w:rsid w:val="1ECD5FFA"/>
    <w:rsid w:val="1F243585"/>
    <w:rsid w:val="1F2C0897"/>
    <w:rsid w:val="1F6F5922"/>
    <w:rsid w:val="1F734307"/>
    <w:rsid w:val="1FF01EAC"/>
    <w:rsid w:val="20485C4C"/>
    <w:rsid w:val="20504DD1"/>
    <w:rsid w:val="205810FD"/>
    <w:rsid w:val="20CD21F4"/>
    <w:rsid w:val="212115A2"/>
    <w:rsid w:val="216834DE"/>
    <w:rsid w:val="217422D3"/>
    <w:rsid w:val="21C960F6"/>
    <w:rsid w:val="225708D7"/>
    <w:rsid w:val="23957F50"/>
    <w:rsid w:val="23E67F16"/>
    <w:rsid w:val="24230E29"/>
    <w:rsid w:val="242F672E"/>
    <w:rsid w:val="24663B91"/>
    <w:rsid w:val="2492258F"/>
    <w:rsid w:val="24ED119F"/>
    <w:rsid w:val="25506927"/>
    <w:rsid w:val="26265FEE"/>
    <w:rsid w:val="264C5C76"/>
    <w:rsid w:val="26C03620"/>
    <w:rsid w:val="26C57B7A"/>
    <w:rsid w:val="27253481"/>
    <w:rsid w:val="27FC0D55"/>
    <w:rsid w:val="28F40496"/>
    <w:rsid w:val="2929066A"/>
    <w:rsid w:val="29505BDC"/>
    <w:rsid w:val="29B37190"/>
    <w:rsid w:val="29E55879"/>
    <w:rsid w:val="29E55C38"/>
    <w:rsid w:val="29F36B66"/>
    <w:rsid w:val="29F92C58"/>
    <w:rsid w:val="2A0374BC"/>
    <w:rsid w:val="2A477CE3"/>
    <w:rsid w:val="2A955869"/>
    <w:rsid w:val="2ADA6FF8"/>
    <w:rsid w:val="2AEE24E2"/>
    <w:rsid w:val="2B017E97"/>
    <w:rsid w:val="2B3C6B3E"/>
    <w:rsid w:val="2B436DA5"/>
    <w:rsid w:val="2B6A695E"/>
    <w:rsid w:val="2BA65763"/>
    <w:rsid w:val="2BAE2633"/>
    <w:rsid w:val="2BEC7070"/>
    <w:rsid w:val="2C0D6E49"/>
    <w:rsid w:val="2C637CCD"/>
    <w:rsid w:val="2CA83EB9"/>
    <w:rsid w:val="2CAE0CD6"/>
    <w:rsid w:val="2CDD5B24"/>
    <w:rsid w:val="2D053861"/>
    <w:rsid w:val="2D9A3B92"/>
    <w:rsid w:val="2E127B88"/>
    <w:rsid w:val="2E254534"/>
    <w:rsid w:val="2E2D5450"/>
    <w:rsid w:val="2E6574FC"/>
    <w:rsid w:val="2E674331"/>
    <w:rsid w:val="2EBD2A16"/>
    <w:rsid w:val="2EEA4EA3"/>
    <w:rsid w:val="2EEF3DCB"/>
    <w:rsid w:val="2F4A6C32"/>
    <w:rsid w:val="2F6D3FB3"/>
    <w:rsid w:val="2FC70F86"/>
    <w:rsid w:val="2FD45182"/>
    <w:rsid w:val="30C17998"/>
    <w:rsid w:val="30C22029"/>
    <w:rsid w:val="30CC0E8D"/>
    <w:rsid w:val="30DD4DE2"/>
    <w:rsid w:val="311E39FD"/>
    <w:rsid w:val="313C3AF3"/>
    <w:rsid w:val="315B5E95"/>
    <w:rsid w:val="317C5661"/>
    <w:rsid w:val="318A463B"/>
    <w:rsid w:val="31D04A59"/>
    <w:rsid w:val="324D611F"/>
    <w:rsid w:val="32607604"/>
    <w:rsid w:val="335B7C68"/>
    <w:rsid w:val="33683061"/>
    <w:rsid w:val="339936B6"/>
    <w:rsid w:val="33B1355E"/>
    <w:rsid w:val="33DA02D0"/>
    <w:rsid w:val="33EC1213"/>
    <w:rsid w:val="3418053F"/>
    <w:rsid w:val="3482764F"/>
    <w:rsid w:val="34890B03"/>
    <w:rsid w:val="34DC2D50"/>
    <w:rsid w:val="34EC7A34"/>
    <w:rsid w:val="34EF56D6"/>
    <w:rsid w:val="35741906"/>
    <w:rsid w:val="35A70844"/>
    <w:rsid w:val="35B37D24"/>
    <w:rsid w:val="36400D53"/>
    <w:rsid w:val="369C0B1C"/>
    <w:rsid w:val="371B1495"/>
    <w:rsid w:val="37284660"/>
    <w:rsid w:val="372C43AF"/>
    <w:rsid w:val="3738709D"/>
    <w:rsid w:val="373C4413"/>
    <w:rsid w:val="373E1D87"/>
    <w:rsid w:val="376B5373"/>
    <w:rsid w:val="37885691"/>
    <w:rsid w:val="37B00CDF"/>
    <w:rsid w:val="383513B5"/>
    <w:rsid w:val="38464C48"/>
    <w:rsid w:val="385C3F3F"/>
    <w:rsid w:val="385E740A"/>
    <w:rsid w:val="38676F9E"/>
    <w:rsid w:val="38763CF1"/>
    <w:rsid w:val="38E4663C"/>
    <w:rsid w:val="38F419B2"/>
    <w:rsid w:val="38FB6203"/>
    <w:rsid w:val="38FE27D3"/>
    <w:rsid w:val="390704C5"/>
    <w:rsid w:val="3917205E"/>
    <w:rsid w:val="3957544B"/>
    <w:rsid w:val="39581178"/>
    <w:rsid w:val="395E655D"/>
    <w:rsid w:val="399F7E08"/>
    <w:rsid w:val="39E278C1"/>
    <w:rsid w:val="3A140ED9"/>
    <w:rsid w:val="3A33635C"/>
    <w:rsid w:val="3A5152BB"/>
    <w:rsid w:val="3A5E22ED"/>
    <w:rsid w:val="3A807CF6"/>
    <w:rsid w:val="3AA162B6"/>
    <w:rsid w:val="3AB05298"/>
    <w:rsid w:val="3ACE2EE4"/>
    <w:rsid w:val="3B27789D"/>
    <w:rsid w:val="3B4D46D7"/>
    <w:rsid w:val="3B501235"/>
    <w:rsid w:val="3B99523B"/>
    <w:rsid w:val="3BB4283D"/>
    <w:rsid w:val="3BD8480C"/>
    <w:rsid w:val="3BE80257"/>
    <w:rsid w:val="3BEF2135"/>
    <w:rsid w:val="3C044D1C"/>
    <w:rsid w:val="3C115839"/>
    <w:rsid w:val="3C4255DD"/>
    <w:rsid w:val="3CB03353"/>
    <w:rsid w:val="3D0019CE"/>
    <w:rsid w:val="3D0E7940"/>
    <w:rsid w:val="3D276890"/>
    <w:rsid w:val="3D467861"/>
    <w:rsid w:val="3D6966DE"/>
    <w:rsid w:val="3D9D428A"/>
    <w:rsid w:val="3DB712BB"/>
    <w:rsid w:val="3DC07511"/>
    <w:rsid w:val="3DC426E4"/>
    <w:rsid w:val="3DD6597B"/>
    <w:rsid w:val="3DFE085E"/>
    <w:rsid w:val="3E2E4312"/>
    <w:rsid w:val="3E416727"/>
    <w:rsid w:val="3E583ECB"/>
    <w:rsid w:val="3E6B08B9"/>
    <w:rsid w:val="3E9C3F6D"/>
    <w:rsid w:val="3EB5745B"/>
    <w:rsid w:val="3EBC4B91"/>
    <w:rsid w:val="3EC72145"/>
    <w:rsid w:val="3FC01074"/>
    <w:rsid w:val="3FCF70D9"/>
    <w:rsid w:val="3FF60188"/>
    <w:rsid w:val="3FF659B6"/>
    <w:rsid w:val="3FF83F14"/>
    <w:rsid w:val="40405D35"/>
    <w:rsid w:val="4079291D"/>
    <w:rsid w:val="40A02D91"/>
    <w:rsid w:val="40B0683B"/>
    <w:rsid w:val="40D93256"/>
    <w:rsid w:val="41003C2A"/>
    <w:rsid w:val="412D11DF"/>
    <w:rsid w:val="41A945C9"/>
    <w:rsid w:val="41AD14A5"/>
    <w:rsid w:val="41BC4BBE"/>
    <w:rsid w:val="41FF6B57"/>
    <w:rsid w:val="42231790"/>
    <w:rsid w:val="42DA497B"/>
    <w:rsid w:val="42E5074C"/>
    <w:rsid w:val="42EB334A"/>
    <w:rsid w:val="431B489F"/>
    <w:rsid w:val="437672CF"/>
    <w:rsid w:val="43B55C46"/>
    <w:rsid w:val="43B6421A"/>
    <w:rsid w:val="43B90FC1"/>
    <w:rsid w:val="43E500FD"/>
    <w:rsid w:val="43E824FD"/>
    <w:rsid w:val="43EA5710"/>
    <w:rsid w:val="44070B4C"/>
    <w:rsid w:val="44AB6CB7"/>
    <w:rsid w:val="44D800BA"/>
    <w:rsid w:val="45393B7F"/>
    <w:rsid w:val="453B615D"/>
    <w:rsid w:val="45627106"/>
    <w:rsid w:val="458B24D1"/>
    <w:rsid w:val="461C728F"/>
    <w:rsid w:val="468627DD"/>
    <w:rsid w:val="46A85802"/>
    <w:rsid w:val="46EA44DE"/>
    <w:rsid w:val="46F23423"/>
    <w:rsid w:val="470234A2"/>
    <w:rsid w:val="47687CDF"/>
    <w:rsid w:val="476E58D5"/>
    <w:rsid w:val="47705678"/>
    <w:rsid w:val="47931433"/>
    <w:rsid w:val="47FB308D"/>
    <w:rsid w:val="484B2E37"/>
    <w:rsid w:val="486B3A63"/>
    <w:rsid w:val="490C1EF4"/>
    <w:rsid w:val="490F6E38"/>
    <w:rsid w:val="49406B15"/>
    <w:rsid w:val="49C33133"/>
    <w:rsid w:val="49EE4FE0"/>
    <w:rsid w:val="4A1F169C"/>
    <w:rsid w:val="4A7414DF"/>
    <w:rsid w:val="4A7E3550"/>
    <w:rsid w:val="4AB04516"/>
    <w:rsid w:val="4AC544BB"/>
    <w:rsid w:val="4ADF1795"/>
    <w:rsid w:val="4B463EF5"/>
    <w:rsid w:val="4BD560EC"/>
    <w:rsid w:val="4BE10A2F"/>
    <w:rsid w:val="4C241E79"/>
    <w:rsid w:val="4CA16645"/>
    <w:rsid w:val="4CD6724B"/>
    <w:rsid w:val="4CE42681"/>
    <w:rsid w:val="4D4249B5"/>
    <w:rsid w:val="4D520EA2"/>
    <w:rsid w:val="4D826A81"/>
    <w:rsid w:val="4EF867EB"/>
    <w:rsid w:val="4F0F5899"/>
    <w:rsid w:val="4F7E3CB9"/>
    <w:rsid w:val="4F980F23"/>
    <w:rsid w:val="50280D8F"/>
    <w:rsid w:val="503F0703"/>
    <w:rsid w:val="506401FC"/>
    <w:rsid w:val="50BD578E"/>
    <w:rsid w:val="50E22D93"/>
    <w:rsid w:val="512272C9"/>
    <w:rsid w:val="515F695B"/>
    <w:rsid w:val="519D6B66"/>
    <w:rsid w:val="51AD67F4"/>
    <w:rsid w:val="51D16DE0"/>
    <w:rsid w:val="51FA22F8"/>
    <w:rsid w:val="522A286E"/>
    <w:rsid w:val="525B147E"/>
    <w:rsid w:val="52653A95"/>
    <w:rsid w:val="530E3233"/>
    <w:rsid w:val="53154A1F"/>
    <w:rsid w:val="53183316"/>
    <w:rsid w:val="531838A0"/>
    <w:rsid w:val="53381737"/>
    <w:rsid w:val="534058C8"/>
    <w:rsid w:val="53A60BA3"/>
    <w:rsid w:val="540D34EF"/>
    <w:rsid w:val="541479EE"/>
    <w:rsid w:val="546635F4"/>
    <w:rsid w:val="54986130"/>
    <w:rsid w:val="54A70863"/>
    <w:rsid w:val="54A769E2"/>
    <w:rsid w:val="54BD4237"/>
    <w:rsid w:val="54CC60E5"/>
    <w:rsid w:val="555D389B"/>
    <w:rsid w:val="558C2AB1"/>
    <w:rsid w:val="55A3172F"/>
    <w:rsid w:val="55C62303"/>
    <w:rsid w:val="5617314C"/>
    <w:rsid w:val="563138B4"/>
    <w:rsid w:val="568B3985"/>
    <w:rsid w:val="5738254E"/>
    <w:rsid w:val="57467E80"/>
    <w:rsid w:val="575207F7"/>
    <w:rsid w:val="5768159A"/>
    <w:rsid w:val="578A466F"/>
    <w:rsid w:val="57D32355"/>
    <w:rsid w:val="57D821C1"/>
    <w:rsid w:val="57F85117"/>
    <w:rsid w:val="581D2F8B"/>
    <w:rsid w:val="5850145B"/>
    <w:rsid w:val="58DA0C09"/>
    <w:rsid w:val="58E92EC7"/>
    <w:rsid w:val="58F2460D"/>
    <w:rsid w:val="593077DD"/>
    <w:rsid w:val="59FE1543"/>
    <w:rsid w:val="5A235C6A"/>
    <w:rsid w:val="5A6543DB"/>
    <w:rsid w:val="5A69633B"/>
    <w:rsid w:val="5AB11BA7"/>
    <w:rsid w:val="5B16116C"/>
    <w:rsid w:val="5B2067DA"/>
    <w:rsid w:val="5B3A4D92"/>
    <w:rsid w:val="5B56561F"/>
    <w:rsid w:val="5B82431B"/>
    <w:rsid w:val="5BDB0F89"/>
    <w:rsid w:val="5BE1553E"/>
    <w:rsid w:val="5BF60CEF"/>
    <w:rsid w:val="5C15053E"/>
    <w:rsid w:val="5C2A739A"/>
    <w:rsid w:val="5C3749FF"/>
    <w:rsid w:val="5C9C2495"/>
    <w:rsid w:val="5CB36816"/>
    <w:rsid w:val="5CCC67EF"/>
    <w:rsid w:val="5D030F26"/>
    <w:rsid w:val="5D393A6B"/>
    <w:rsid w:val="5D3A1E79"/>
    <w:rsid w:val="5D4E6EC9"/>
    <w:rsid w:val="5D76356B"/>
    <w:rsid w:val="5D997232"/>
    <w:rsid w:val="5DED06E0"/>
    <w:rsid w:val="5E1C1A00"/>
    <w:rsid w:val="5E243B18"/>
    <w:rsid w:val="5E482FBE"/>
    <w:rsid w:val="5ECB4491"/>
    <w:rsid w:val="5F053371"/>
    <w:rsid w:val="5F3337CD"/>
    <w:rsid w:val="5F8A758F"/>
    <w:rsid w:val="5F9A623B"/>
    <w:rsid w:val="5FBC4264"/>
    <w:rsid w:val="603732D8"/>
    <w:rsid w:val="60F65577"/>
    <w:rsid w:val="60F77BFD"/>
    <w:rsid w:val="6123117D"/>
    <w:rsid w:val="614D7107"/>
    <w:rsid w:val="614F5CEE"/>
    <w:rsid w:val="617D68E2"/>
    <w:rsid w:val="61857F93"/>
    <w:rsid w:val="61AE2CA5"/>
    <w:rsid w:val="62623C34"/>
    <w:rsid w:val="62AB2972"/>
    <w:rsid w:val="62C21D6C"/>
    <w:rsid w:val="62D25A5D"/>
    <w:rsid w:val="62DB2B8C"/>
    <w:rsid w:val="632D4618"/>
    <w:rsid w:val="633057A3"/>
    <w:rsid w:val="639245EC"/>
    <w:rsid w:val="63E566A1"/>
    <w:rsid w:val="6454244F"/>
    <w:rsid w:val="646E3336"/>
    <w:rsid w:val="647F0B2F"/>
    <w:rsid w:val="64BE104B"/>
    <w:rsid w:val="64D84B35"/>
    <w:rsid w:val="650E39D3"/>
    <w:rsid w:val="65681F09"/>
    <w:rsid w:val="6573613D"/>
    <w:rsid w:val="6594219A"/>
    <w:rsid w:val="65A52A0F"/>
    <w:rsid w:val="65B21113"/>
    <w:rsid w:val="65E3583B"/>
    <w:rsid w:val="66063859"/>
    <w:rsid w:val="662B0475"/>
    <w:rsid w:val="664734F5"/>
    <w:rsid w:val="66541F3E"/>
    <w:rsid w:val="66C33EDD"/>
    <w:rsid w:val="66D173D9"/>
    <w:rsid w:val="66FD17DF"/>
    <w:rsid w:val="6712609E"/>
    <w:rsid w:val="671B5A4F"/>
    <w:rsid w:val="6748677A"/>
    <w:rsid w:val="67A65DBA"/>
    <w:rsid w:val="67A9637B"/>
    <w:rsid w:val="68733371"/>
    <w:rsid w:val="68955338"/>
    <w:rsid w:val="68E5215E"/>
    <w:rsid w:val="6920303C"/>
    <w:rsid w:val="693020A5"/>
    <w:rsid w:val="69302EB9"/>
    <w:rsid w:val="69322306"/>
    <w:rsid w:val="693A039D"/>
    <w:rsid w:val="69651328"/>
    <w:rsid w:val="6982256E"/>
    <w:rsid w:val="698D6AA8"/>
    <w:rsid w:val="69C443C0"/>
    <w:rsid w:val="69CC7604"/>
    <w:rsid w:val="6A402C68"/>
    <w:rsid w:val="6AA748D9"/>
    <w:rsid w:val="6AB97334"/>
    <w:rsid w:val="6ABA06DF"/>
    <w:rsid w:val="6B3063EA"/>
    <w:rsid w:val="6B45521A"/>
    <w:rsid w:val="6B7B2D24"/>
    <w:rsid w:val="6B89332C"/>
    <w:rsid w:val="6B9A21C8"/>
    <w:rsid w:val="6BAA1F3F"/>
    <w:rsid w:val="6BD4406B"/>
    <w:rsid w:val="6C1E2E2D"/>
    <w:rsid w:val="6C975211"/>
    <w:rsid w:val="6CC97699"/>
    <w:rsid w:val="6CDB464B"/>
    <w:rsid w:val="6D1C1BD2"/>
    <w:rsid w:val="6D485FC5"/>
    <w:rsid w:val="6D5B2B51"/>
    <w:rsid w:val="6D7249EC"/>
    <w:rsid w:val="6D8F0003"/>
    <w:rsid w:val="6D9A775D"/>
    <w:rsid w:val="6DA56F08"/>
    <w:rsid w:val="6E003600"/>
    <w:rsid w:val="6E767F3A"/>
    <w:rsid w:val="6E77458E"/>
    <w:rsid w:val="6EA3030F"/>
    <w:rsid w:val="6EB20249"/>
    <w:rsid w:val="6EC54FAF"/>
    <w:rsid w:val="6EDC18DA"/>
    <w:rsid w:val="6EDE1FFB"/>
    <w:rsid w:val="6EDF6BE8"/>
    <w:rsid w:val="6F016CAF"/>
    <w:rsid w:val="6F2854A1"/>
    <w:rsid w:val="6F3072A1"/>
    <w:rsid w:val="6FAC13EE"/>
    <w:rsid w:val="6FEC2AAE"/>
    <w:rsid w:val="701A152C"/>
    <w:rsid w:val="706D5AC4"/>
    <w:rsid w:val="70D52EC3"/>
    <w:rsid w:val="70E366B0"/>
    <w:rsid w:val="70E70925"/>
    <w:rsid w:val="7105777A"/>
    <w:rsid w:val="71240D1B"/>
    <w:rsid w:val="713815FB"/>
    <w:rsid w:val="715B0103"/>
    <w:rsid w:val="716F5F9A"/>
    <w:rsid w:val="71726999"/>
    <w:rsid w:val="71B33500"/>
    <w:rsid w:val="71C2771C"/>
    <w:rsid w:val="71D566FB"/>
    <w:rsid w:val="71E57337"/>
    <w:rsid w:val="724403D2"/>
    <w:rsid w:val="728D4EB8"/>
    <w:rsid w:val="72B305F8"/>
    <w:rsid w:val="72B63D21"/>
    <w:rsid w:val="72F35B3F"/>
    <w:rsid w:val="72FB43CB"/>
    <w:rsid w:val="73281BE3"/>
    <w:rsid w:val="732A56C7"/>
    <w:rsid w:val="73542796"/>
    <w:rsid w:val="735A13C7"/>
    <w:rsid w:val="738E0259"/>
    <w:rsid w:val="73CB20F5"/>
    <w:rsid w:val="73DA1F23"/>
    <w:rsid w:val="740A49E5"/>
    <w:rsid w:val="74650CD1"/>
    <w:rsid w:val="74895A91"/>
    <w:rsid w:val="74CF05B1"/>
    <w:rsid w:val="74E62C58"/>
    <w:rsid w:val="75152B1F"/>
    <w:rsid w:val="752A2559"/>
    <w:rsid w:val="756613AC"/>
    <w:rsid w:val="75AD550B"/>
    <w:rsid w:val="7600293C"/>
    <w:rsid w:val="76490603"/>
    <w:rsid w:val="766815EA"/>
    <w:rsid w:val="76E74B5E"/>
    <w:rsid w:val="77242E9D"/>
    <w:rsid w:val="777F4F12"/>
    <w:rsid w:val="78875650"/>
    <w:rsid w:val="78C62065"/>
    <w:rsid w:val="791F2DEB"/>
    <w:rsid w:val="79490F0C"/>
    <w:rsid w:val="79625BA5"/>
    <w:rsid w:val="797C1EB1"/>
    <w:rsid w:val="797D538D"/>
    <w:rsid w:val="79955BE1"/>
    <w:rsid w:val="79C7712C"/>
    <w:rsid w:val="7A176381"/>
    <w:rsid w:val="7A2618F6"/>
    <w:rsid w:val="7A261C04"/>
    <w:rsid w:val="7A324420"/>
    <w:rsid w:val="7A4020A0"/>
    <w:rsid w:val="7AB74CE5"/>
    <w:rsid w:val="7AF468CA"/>
    <w:rsid w:val="7B1D4C2C"/>
    <w:rsid w:val="7B294DF3"/>
    <w:rsid w:val="7B385236"/>
    <w:rsid w:val="7BCB6B4F"/>
    <w:rsid w:val="7C1D6B09"/>
    <w:rsid w:val="7C547353"/>
    <w:rsid w:val="7C645E96"/>
    <w:rsid w:val="7C6F3538"/>
    <w:rsid w:val="7C763145"/>
    <w:rsid w:val="7C9F557B"/>
    <w:rsid w:val="7CBB283A"/>
    <w:rsid w:val="7CBF2420"/>
    <w:rsid w:val="7CF24A70"/>
    <w:rsid w:val="7CF5762C"/>
    <w:rsid w:val="7D002024"/>
    <w:rsid w:val="7D094357"/>
    <w:rsid w:val="7D0C307D"/>
    <w:rsid w:val="7D50582C"/>
    <w:rsid w:val="7D724DDA"/>
    <w:rsid w:val="7DF62C0B"/>
    <w:rsid w:val="7DFA1BAB"/>
    <w:rsid w:val="7E4D14A9"/>
    <w:rsid w:val="7E7349B1"/>
    <w:rsid w:val="7EC67F40"/>
    <w:rsid w:val="7F377FDF"/>
    <w:rsid w:val="7F613019"/>
    <w:rsid w:val="7F6B5B92"/>
    <w:rsid w:val="7F6B5F5C"/>
    <w:rsid w:val="7F733289"/>
    <w:rsid w:val="7FA2024C"/>
    <w:rsid w:val="7FAB1C40"/>
    <w:rsid w:val="7FDF6496"/>
    <w:rsid w:val="7FE452CE"/>
    <w:rsid w:val="7FF37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qFormat/>
    <w:uiPriority w:val="0"/>
    <w:pPr>
      <w:spacing w:before="100" w:beforeAutospacing="1" w:after="10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adjustRightInd w:val="0"/>
      <w:snapToGrid w:val="0"/>
      <w:spacing w:line="360" w:lineRule="auto"/>
      <w:outlineLvl w:val="1"/>
    </w:pPr>
    <w:rPr>
      <w:rFonts w:ascii="宋体" w:hAnsi="宋体"/>
    </w:rPr>
  </w:style>
  <w:style w:type="paragraph" w:styleId="2">
    <w:name w:val="heading 3"/>
    <w:basedOn w:val="1"/>
    <w:next w:val="1"/>
    <w:qFormat/>
    <w:uiPriority w:val="0"/>
    <w:pPr>
      <w:keepNext/>
      <w:keepLines/>
      <w:spacing w:before="260" w:after="26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rFonts w:ascii="仿宋_GB2312" w:eastAsia="仿宋_GB2312"/>
      <w:sz w:val="32"/>
    </w:rPr>
  </w:style>
  <w:style w:type="paragraph" w:styleId="6">
    <w:name w:val="Body Text Indent"/>
    <w:basedOn w:val="1"/>
    <w:qFormat/>
    <w:uiPriority w:val="99"/>
    <w:pPr>
      <w:widowControl/>
      <w:spacing w:line="360" w:lineRule="auto"/>
      <w:ind w:firstLine="280" w:firstLineChars="100"/>
    </w:pPr>
    <w:rPr>
      <w:rFonts w:ascii="仿宋_GB2312" w:hAnsi="Times New Roman" w:eastAsia="仿宋_GB2312" w:cs="仿宋_GB2312"/>
      <w:kern w:val="0"/>
      <w:sz w:val="30"/>
      <w:szCs w:val="30"/>
    </w:rPr>
  </w:style>
  <w:style w:type="paragraph" w:styleId="7">
    <w:name w:val="Balloon Text"/>
    <w:basedOn w:val="1"/>
    <w:unhideWhenUsed/>
    <w:qFormat/>
    <w:uiPriority w:val="0"/>
    <w:rPr>
      <w:rFonts w:ascii="Calibri" w:hAnsi="Calibri" w:eastAsia="宋体"/>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pPr>
      <w:spacing w:line="180" w:lineRule="auto"/>
      <w:jc w:val="center"/>
    </w:pPr>
    <w:rPr>
      <w:sz w:val="30"/>
    </w:rPr>
  </w:style>
  <w:style w:type="paragraph" w:styleId="11">
    <w:name w:val="Body Text 2"/>
    <w:basedOn w:val="1"/>
    <w:qFormat/>
    <w:uiPriority w:val="0"/>
    <w:pPr>
      <w:adjustRightInd w:val="0"/>
      <w:snapToGrid w:val="0"/>
      <w:spacing w:after="120" w:afterLines="0" w:afterAutospacing="0" w:line="480" w:lineRule="auto"/>
    </w:pPr>
    <w:rPr>
      <w:sz w:val="24"/>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99"/>
    <w:pPr>
      <w:widowControl w:val="0"/>
      <w:jc w:val="both"/>
    </w:pPr>
    <w:rPr>
      <w:rFonts w:ascii="Garamond" w:hAnsi="Garamond" w:cs="Garamon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paragraph" w:customStyle="1" w:styleId="17">
    <w:name w:val="TOC1"/>
    <w:basedOn w:val="1"/>
    <w:next w:val="1"/>
    <w:qFormat/>
    <w:uiPriority w:val="0"/>
    <w:pPr>
      <w:tabs>
        <w:tab w:val="left" w:pos="1260"/>
        <w:tab w:val="left" w:pos="1685"/>
        <w:tab w:val="right" w:leader="dot" w:pos="8400"/>
      </w:tabs>
      <w:spacing w:line="320" w:lineRule="exact"/>
      <w:ind w:firstLine="280" w:firstLineChars="100"/>
    </w:pPr>
  </w:style>
  <w:style w:type="paragraph" w:customStyle="1" w:styleId="18">
    <w:name w:val="图例"/>
    <w:basedOn w:val="1"/>
    <w:qFormat/>
    <w:uiPriority w:val="0"/>
    <w:pPr>
      <w:spacing w:line="360" w:lineRule="auto"/>
      <w:jc w:val="center"/>
    </w:pPr>
    <w:rPr>
      <w:rFonts w:eastAsia="仿宋_GB2312"/>
      <w:b/>
      <w:sz w:val="24"/>
    </w:rPr>
  </w:style>
  <w:style w:type="paragraph" w:styleId="19">
    <w:name w:val="List Paragraph"/>
    <w:basedOn w:val="1"/>
    <w:qFormat/>
    <w:uiPriority w:val="34"/>
    <w:pPr>
      <w:ind w:firstLine="420" w:firstLineChars="200"/>
    </w:pPr>
  </w:style>
  <w:style w:type="character" w:customStyle="1" w:styleId="20">
    <w:name w:val="NormalCharacter"/>
    <w:qFormat/>
    <w:uiPriority w:val="0"/>
  </w:style>
  <w:style w:type="character" w:customStyle="1" w:styleId="21">
    <w:name w:val="font81"/>
    <w:basedOn w:val="15"/>
    <w:qFormat/>
    <w:uiPriority w:val="0"/>
    <w:rPr>
      <w:rFonts w:hint="eastAsia" w:ascii="宋体" w:hAnsi="宋体" w:eastAsia="宋体" w:cs="宋体"/>
      <w:color w:val="000000"/>
      <w:sz w:val="20"/>
      <w:szCs w:val="20"/>
      <w:u w:val="none"/>
    </w:rPr>
  </w:style>
  <w:style w:type="character" w:customStyle="1" w:styleId="22">
    <w:name w:val="font41"/>
    <w:basedOn w:val="15"/>
    <w:qFormat/>
    <w:uiPriority w:val="0"/>
    <w:rPr>
      <w:rFonts w:hint="default" w:ascii="Arial" w:hAnsi="Arial" w:cs="Arial"/>
      <w:color w:val="000000"/>
      <w:sz w:val="20"/>
      <w:szCs w:val="20"/>
      <w:u w:val="none"/>
    </w:rPr>
  </w:style>
  <w:style w:type="character" w:customStyle="1" w:styleId="23">
    <w:name w:val="font71"/>
    <w:basedOn w:val="15"/>
    <w:uiPriority w:val="0"/>
    <w:rPr>
      <w:rFonts w:hint="eastAsia" w:ascii="宋体" w:hAnsi="宋体" w:eastAsia="宋体" w:cs="宋体"/>
      <w:color w:val="000000"/>
      <w:sz w:val="16"/>
      <w:szCs w:val="16"/>
      <w:u w:val="none"/>
    </w:rPr>
  </w:style>
  <w:style w:type="character" w:customStyle="1" w:styleId="24">
    <w:name w:val="font61"/>
    <w:basedOn w:val="15"/>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5914</Words>
  <Characters>6229</Characters>
  <Lines>0</Lines>
  <Paragraphs>0</Paragraphs>
  <TotalTime>5</TotalTime>
  <ScaleCrop>false</ScaleCrop>
  <LinksUpToDate>false</LinksUpToDate>
  <CharactersWithSpaces>6963</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2020-12-31T01:40:00Z</dcterms:created>
  <dc:creator>Administrator</dc:creator>
  <cp:lastModifiedBy>吴衡</cp:lastModifiedBy>
  <cp:lastPrinted>2026-09-01T06:30:00Z</cp:lastPrinted>
  <dcterms:modified xsi:type="dcterms:W3CDTF">2026-09-23T07:10:28Z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348673ECCE2748E79B35812F10C84653</vt:lpwstr>
  </property>
  <property fmtid="{D5CDD505-2E9C-101B-9397-08002B2CF9AE}" pid="4" name="KSOTemplateDocerSaveRecord">
    <vt:lpwstr>eyJoZGlkIjoiZTdiZTQxMmRlODljZjM5Zjc1M2JjMGJmMjNmZWMyODgiLCJ1c2VySWQiOiIxMjQ2MzM3Mzg4In0=</vt:lpwstr>
  </property>
</Properties>
</file>